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A6" w:rsidRDefault="000F070A">
      <w:pPr>
        <w:adjustRightInd w:val="0"/>
        <w:snapToGrid w:val="0"/>
        <w:spacing w:line="560" w:lineRule="atLeast"/>
        <w:rPr>
          <w:rFonts w:ascii="仿宋" w:eastAsia="仿宋_GB2312" w:hAnsi="仿宋"/>
          <w:sz w:val="32"/>
        </w:rPr>
      </w:pPr>
      <w:r>
        <w:rPr>
          <w:rFonts w:ascii="仿宋" w:eastAsia="仿宋_GB2312" w:hAnsi="仿宋" w:hint="eastAsia"/>
          <w:noProof/>
          <w:sz w:val="32"/>
        </w:rPr>
        <mc:AlternateContent>
          <mc:Choice Requires="wps">
            <w:drawing>
              <wp:anchor distT="0" distB="0" distL="114300" distR="114300" simplePos="0" relativeHeight="251659264" behindDoc="0" locked="0" layoutInCell="1" allowOverlap="1">
                <wp:simplePos x="0" y="0"/>
                <wp:positionH relativeFrom="page">
                  <wp:posOffset>1009650</wp:posOffset>
                </wp:positionH>
                <wp:positionV relativeFrom="page">
                  <wp:posOffset>937895</wp:posOffset>
                </wp:positionV>
                <wp:extent cx="5544185" cy="850900"/>
                <wp:effectExtent l="0" t="0" r="0" b="6985"/>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50789"/>
                        </a:xfrm>
                        <a:prstGeom prst="rect">
                          <a:avLst/>
                        </a:prstGeom>
                        <a:noFill/>
                        <a:ln w="9525">
                          <a:noFill/>
                          <a:miter lim="800000"/>
                        </a:ln>
                      </wps:spPr>
                      <wps:txbx>
                        <w:txbxContent>
                          <w:p w:rsidR="007166A6" w:rsidRDefault="000F070A">
                            <w:pPr>
                              <w:jc w:val="distribute"/>
                              <w:rPr>
                                <w:rFonts w:eastAsia="方正小标宋简体"/>
                                <w:bCs/>
                                <w:snapToGrid w:val="0"/>
                                <w:color w:val="FF0000"/>
                                <w:w w:val="80"/>
                                <w:kern w:val="4"/>
                                <w:sz w:val="96"/>
                                <w:szCs w:val="96"/>
                              </w:rPr>
                            </w:pPr>
                            <w:r>
                              <w:rPr>
                                <w:rFonts w:eastAsia="方正小标宋简体"/>
                                <w:bCs/>
                                <w:snapToGrid w:val="0"/>
                                <w:color w:val="FF0000"/>
                                <w:w w:val="80"/>
                                <w:kern w:val="4"/>
                                <w:sz w:val="96"/>
                                <w:szCs w:val="96"/>
                              </w:rPr>
                              <w:t>中山大学</w:t>
                            </w:r>
                            <w:r>
                              <w:rPr>
                                <w:rFonts w:eastAsia="方正小标宋简体" w:hint="eastAsia"/>
                                <w:bCs/>
                                <w:snapToGrid w:val="0"/>
                                <w:color w:val="FF0000"/>
                                <w:w w:val="80"/>
                                <w:kern w:val="4"/>
                                <w:sz w:val="96"/>
                                <w:szCs w:val="96"/>
                              </w:rPr>
                              <w:t>中文系</w:t>
                            </w:r>
                          </w:p>
                          <w:p w:rsidR="007166A6" w:rsidRDefault="007166A6">
                            <w:pPr>
                              <w:jc w:val="distribute"/>
                              <w:rPr>
                                <w:sz w:val="96"/>
                                <w:szCs w:val="96"/>
                              </w:rPr>
                            </w:pPr>
                          </w:p>
                        </w:txbxContent>
                      </wps:txbx>
                      <wps:bodyPr rot="0" vert="horz" wrap="square" lIns="0" tIns="0" rIns="0" bIns="0" anchor="ctr" anchorCtr="0">
                        <a:noAutofit/>
                      </wps:bodyPr>
                    </wps:wsp>
                  </a:graphicData>
                </a:graphic>
              </wp:anchor>
            </w:drawing>
          </mc:Choice>
          <mc:Fallback>
            <w:pict>
              <v:shapetype id="_x0000_t202" coordsize="21600,21600" o:spt="202" path="m,l,21600r21600,l21600,xe">
                <v:stroke joinstyle="miter"/>
                <v:path gradientshapeok="t" o:connecttype="rect"/>
              </v:shapetype>
              <v:shape id="文本框 307" o:spid="_x0000_s1026" type="#_x0000_t202" style="position:absolute;left:0;text-align:left;margin-left:79.5pt;margin-top:73.85pt;width:436.55pt;height:67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" filled="f" stroked="f">
                <v:textbox inset="0,0,0,0">
                  <w:txbxContent>
                    <w:p w:rsidR="007166A6" w:rsidRDefault="000F070A">
                      <w:pPr>
                        <w:jc w:val="distribute"/>
                        <w:rPr>
                          <w:rFonts w:eastAsia="方正小标宋简体"/>
                          <w:bCs/>
                          <w:snapToGrid w:val="0"/>
                          <w:color w:val="FF0000"/>
                          <w:w w:val="80"/>
                          <w:kern w:val="4"/>
                          <w:sz w:val="96"/>
                          <w:szCs w:val="96"/>
                        </w:rPr>
                      </w:pPr>
                      <w:r>
                        <w:rPr>
                          <w:rFonts w:eastAsia="方正小标宋简体"/>
                          <w:bCs/>
                          <w:snapToGrid w:val="0"/>
                          <w:color w:val="FF0000"/>
                          <w:w w:val="80"/>
                          <w:kern w:val="4"/>
                          <w:sz w:val="96"/>
                          <w:szCs w:val="96"/>
                        </w:rPr>
                        <w:t>中山大学</w:t>
                      </w:r>
                      <w:r>
                        <w:rPr>
                          <w:rFonts w:eastAsia="方正小标宋简体" w:hint="eastAsia"/>
                          <w:bCs/>
                          <w:snapToGrid w:val="0"/>
                          <w:color w:val="FF0000"/>
                          <w:w w:val="80"/>
                          <w:kern w:val="4"/>
                          <w:sz w:val="96"/>
                          <w:szCs w:val="96"/>
                        </w:rPr>
                        <w:t>中文系</w:t>
                      </w:r>
                    </w:p>
                    <w:p w:rsidR="007166A6" w:rsidRDefault="007166A6">
                      <w:pPr>
                        <w:jc w:val="distribute"/>
                        <w:rPr>
                          <w:sz w:val="96"/>
                          <w:szCs w:val="96"/>
                        </w:rPr>
                      </w:pPr>
                    </w:p>
                  </w:txbxContent>
                </v:textbox>
                <w10:wrap anchorx="page" anchory="page"/>
              </v:shape>
            </w:pict>
          </mc:Fallback>
        </mc:AlternateContent>
      </w:r>
    </w:p>
    <w:p w:rsidR="007166A6" w:rsidRDefault="007166A6">
      <w:pPr>
        <w:adjustRightInd w:val="0"/>
        <w:snapToGrid w:val="0"/>
        <w:spacing w:line="560" w:lineRule="atLeast"/>
        <w:rPr>
          <w:rFonts w:ascii="仿宋" w:eastAsia="仿宋_GB2312" w:hAnsi="仿宋"/>
          <w:sz w:val="32"/>
        </w:rPr>
      </w:pPr>
    </w:p>
    <w:p w:rsidR="007166A6" w:rsidRPr="007E6A9C" w:rsidRDefault="000F070A">
      <w:pPr>
        <w:adjustRightInd w:val="0"/>
        <w:snapToGrid w:val="0"/>
        <w:spacing w:line="560" w:lineRule="atLeast"/>
        <w:ind w:right="70" w:firstLineChars="88" w:firstLine="282"/>
        <w:jc w:val="right"/>
        <w:rPr>
          <w:rFonts w:eastAsia="仿宋_GB2312"/>
          <w:sz w:val="32"/>
        </w:rPr>
      </w:pPr>
      <w:r w:rsidRPr="007E6A9C">
        <w:rPr>
          <w:rFonts w:eastAsia="仿宋_GB2312"/>
          <w:noProof/>
          <w:sz w:val="32"/>
        </w:rPr>
        <mc:AlternateContent>
          <mc:Choice Requires="wps">
            <w:drawing>
              <wp:anchor distT="0" distB="0" distL="114300" distR="114300" simplePos="0" relativeHeight="251660288" behindDoc="0" locked="0" layoutInCell="1" allowOverlap="1">
                <wp:simplePos x="0" y="0"/>
                <wp:positionH relativeFrom="page">
                  <wp:posOffset>715010</wp:posOffset>
                </wp:positionH>
                <wp:positionV relativeFrom="page">
                  <wp:posOffset>9970770</wp:posOffset>
                </wp:positionV>
                <wp:extent cx="6120130" cy="0"/>
                <wp:effectExtent l="0" t="19050" r="5207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nThick">
                          <a:solidFill>
                            <a:srgbClr val="FF0000"/>
                          </a:solidFill>
                          <a:round/>
                        </a:ln>
                      </wps:spPr>
                      <wps:bodyPr/>
                    </wps:wsp>
                  </a:graphicData>
                </a:graphic>
              </wp:anchor>
            </w:drawing>
          </mc:Choice>
          <mc:Fallback>
            <w:pict>
              <v:line w14:anchorId="09602951"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56.3pt,785.1pt" to="538.2pt,7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" strokecolor="red" strokeweight="5pt">
                <v:stroke linestyle="thinThick"/>
                <w10:wrap anchorx="page" anchory="page"/>
              </v:line>
            </w:pict>
          </mc:Fallback>
        </mc:AlternateContent>
      </w:r>
      <w:r w:rsidRPr="007E6A9C">
        <w:rPr>
          <w:rFonts w:eastAsia="仿宋_GB2312"/>
          <w:noProof/>
          <w:sz w:val="32"/>
        </w:rPr>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ge">
                  <wp:posOffset>1871980</wp:posOffset>
                </wp:positionV>
                <wp:extent cx="6120130" cy="0"/>
                <wp:effectExtent l="34290" t="33655" r="36830" b="330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ckThin">
                          <a:solidFill>
                            <a:srgbClr val="FF0000"/>
                          </a:solidFill>
                          <a:round/>
                        </a:ln>
                      </wps:spPr>
                      <wps:bodyPr/>
                    </wps:wsp>
                  </a:graphicData>
                </a:graphic>
              </wp:anchor>
            </w:drawing>
          </mc:Choice>
          <mc:Fallback>
            <w:pict>
              <v:line w14:anchorId="77E72051" id="直接连接符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56.7pt,147.4pt" to="538.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" strokecolor="red" strokeweight="5pt">
                <v:stroke linestyle="thickThin"/>
                <w10:wrap anchorx="page" anchory="page"/>
              </v:line>
            </w:pict>
          </mc:Fallback>
        </mc:AlternateContent>
      </w:r>
      <w:r w:rsidRPr="007E6A9C">
        <w:rPr>
          <w:rFonts w:eastAsia="仿宋_GB2312"/>
          <w:sz w:val="32"/>
        </w:rPr>
        <w:t>中文〔</w:t>
      </w:r>
      <w:r w:rsidRPr="007E6A9C">
        <w:rPr>
          <w:rFonts w:eastAsia="仿宋_GB2312"/>
          <w:sz w:val="32"/>
        </w:rPr>
        <w:t>2020</w:t>
      </w:r>
      <w:r w:rsidRPr="007E6A9C">
        <w:rPr>
          <w:rFonts w:eastAsia="仿宋_GB2312"/>
          <w:sz w:val="32"/>
        </w:rPr>
        <w:t>〕</w:t>
      </w:r>
      <w:r w:rsidR="007E6A9C" w:rsidRPr="007E6A9C">
        <w:rPr>
          <w:rFonts w:eastAsia="仿宋_GB2312"/>
          <w:sz w:val="32"/>
        </w:rPr>
        <w:t>27</w:t>
      </w:r>
      <w:r w:rsidRPr="007E6A9C">
        <w:rPr>
          <w:rFonts w:eastAsia="仿宋_GB2312"/>
          <w:sz w:val="32"/>
        </w:rPr>
        <w:t>号</w:t>
      </w:r>
    </w:p>
    <w:p w:rsidR="007166A6" w:rsidRDefault="007166A6">
      <w:pPr>
        <w:spacing w:line="500" w:lineRule="exact"/>
        <w:jc w:val="center"/>
        <w:rPr>
          <w:rFonts w:ascii="华文仿宋" w:eastAsia="华文仿宋" w:hAnsi="华文仿宋"/>
          <w:b/>
          <w:sz w:val="44"/>
          <w:szCs w:val="36"/>
        </w:rPr>
      </w:pPr>
    </w:p>
    <w:p w:rsidR="007166A6" w:rsidRDefault="007166A6">
      <w:pPr>
        <w:spacing w:line="500" w:lineRule="exact"/>
        <w:jc w:val="center"/>
        <w:rPr>
          <w:rFonts w:ascii="华文仿宋" w:eastAsia="华文仿宋" w:hAnsi="华文仿宋"/>
          <w:b/>
          <w:sz w:val="44"/>
          <w:szCs w:val="36"/>
        </w:rPr>
      </w:pPr>
    </w:p>
    <w:p w:rsidR="007166A6" w:rsidRDefault="000F070A">
      <w:pPr>
        <w:adjustRightInd w:val="0"/>
        <w:snapToGrid w:val="0"/>
        <w:spacing w:line="560" w:lineRule="atLeast"/>
        <w:jc w:val="center"/>
        <w:rPr>
          <w:rFonts w:ascii="方正小标宋简体" w:eastAsia="方正小标宋简体" w:hAnsi="楷体"/>
          <w:sz w:val="44"/>
        </w:rPr>
      </w:pPr>
      <w:r>
        <w:rPr>
          <w:rFonts w:ascii="方正小标宋简体" w:eastAsia="方正小标宋简体" w:hAnsi="楷体" w:hint="eastAsia"/>
          <w:sz w:val="44"/>
        </w:rPr>
        <w:t>中山大学中国语言文学系研究生奖助金评选办法（试行）</w:t>
      </w:r>
    </w:p>
    <w:p w:rsidR="007166A6" w:rsidRDefault="007166A6">
      <w:pPr>
        <w:rPr>
          <w:rFonts w:ascii="宋体" w:hAnsi="宋体"/>
        </w:rPr>
      </w:pPr>
    </w:p>
    <w:p w:rsidR="007166A6" w:rsidRDefault="007166A6">
      <w:pPr>
        <w:rPr>
          <w:rFonts w:ascii="宋体" w:hAnsi="宋体"/>
        </w:rPr>
      </w:pP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为规范我系研究生奖助金管理，本着鼓励研究生勤奋学习、奋发向上的原则，倡导研究生积极参加学术科研活动，培养研究生关心同学、服务集体的意识，促进我系研究生的全面发展，以此提升研究生的培养质量，根据《</w:t>
      </w:r>
      <w:r>
        <w:rPr>
          <w:rFonts w:ascii="仿宋_GB2312" w:eastAsia="仿宋_GB2312" w:hAnsi="仿宋_GB2312" w:cs="仿宋_GB2312"/>
          <w:sz w:val="32"/>
          <w:szCs w:val="32"/>
        </w:rPr>
        <w:t>中山大学研究生奖助规定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中山大学研究生奖助规定实施细则》</w:t>
      </w:r>
      <w:r>
        <w:rPr>
          <w:rFonts w:ascii="仿宋_GB2312" w:eastAsia="仿宋_GB2312" w:hAnsi="仿宋_GB2312" w:cs="仿宋_GB2312" w:hint="eastAsia"/>
          <w:sz w:val="32"/>
          <w:szCs w:val="32"/>
        </w:rPr>
        <w:t>《中山大学博士研究生“优生优培”资助计划实施办法》，结合我系实际情况，制定本方案。</w:t>
      </w:r>
    </w:p>
    <w:p w:rsidR="007166A6" w:rsidRDefault="007166A6">
      <w:pPr>
        <w:ind w:firstLine="544"/>
        <w:rPr>
          <w:rFonts w:ascii="仿宋_GB2312" w:eastAsia="仿宋_GB2312" w:hAnsi="仿宋_GB2312" w:cs="仿宋_GB2312"/>
          <w:sz w:val="32"/>
          <w:szCs w:val="32"/>
        </w:rPr>
      </w:pPr>
    </w:p>
    <w:p w:rsidR="007166A6" w:rsidRDefault="000F070A">
      <w:pPr>
        <w:numPr>
          <w:ilvl w:val="0"/>
          <w:numId w:val="1"/>
        </w:numPr>
        <w:ind w:firstLine="54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总则</w:t>
      </w:r>
    </w:p>
    <w:p w:rsidR="007166A6" w:rsidRDefault="000F070A">
      <w:pPr>
        <w:numPr>
          <w:ilvl w:val="0"/>
          <w:numId w:val="2"/>
        </w:num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适用对象</w:t>
      </w:r>
    </w:p>
    <w:p w:rsidR="007166A6" w:rsidRDefault="000F070A">
      <w:pPr>
        <w:ind w:firstLine="544"/>
        <w:rPr>
          <w:rFonts w:ascii="仿宋_GB2312" w:eastAsia="仿宋_GB2312" w:hAnsi="仿宋_GB2312" w:cs="仿宋_GB2312"/>
          <w:b/>
          <w:sz w:val="32"/>
          <w:szCs w:val="32"/>
        </w:rPr>
      </w:pPr>
      <w:r>
        <w:rPr>
          <w:rFonts w:ascii="仿宋_GB2312" w:eastAsia="仿宋_GB2312" w:hAnsi="仿宋_GB2312" w:cs="仿宋_GB2312" w:hint="eastAsia"/>
          <w:sz w:val="32"/>
          <w:szCs w:val="32"/>
        </w:rPr>
        <w:t>本细则适用于中山大学中文系2017年以后录取的纳入全国研究生招生计划且在基本修业年限内的全日制非定向就业和专项计划定向就业但无固定工资收入的研究生。</w:t>
      </w:r>
    </w:p>
    <w:p w:rsidR="007166A6" w:rsidRDefault="000F070A">
      <w:pPr>
        <w:numPr>
          <w:ilvl w:val="0"/>
          <w:numId w:val="2"/>
        </w:num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参评资格</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（一）学制内（专业硕士2年之内、学术硕士3年之内、博士4年之内）的在册全日制研究生。</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（二）自研究生入学之后的第二学年起，奖助金评选主要考虑在上一学年度的学习成绩和综合表现（包括学术科研、社会工作、所获奖励等，参评时间为上一年9月至评选当年8月）。</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 w:hint="eastAsia"/>
          <w:sz w:val="32"/>
          <w:szCs w:val="32"/>
        </w:rPr>
        <w:t>参评奖学金者须在评选学年至少参加</w:t>
      </w:r>
      <w:r>
        <w:rPr>
          <w:rFonts w:ascii="仿宋_GB2312" w:eastAsia="仿宋_GB2312" w:hAnsi="仿宋"/>
          <w:sz w:val="32"/>
          <w:szCs w:val="32"/>
        </w:rPr>
        <w:t>6</w:t>
      </w:r>
      <w:r>
        <w:rPr>
          <w:rFonts w:ascii="仿宋_GB2312" w:eastAsia="仿宋_GB2312" w:hAnsi="仿宋" w:hint="eastAsia"/>
          <w:sz w:val="32"/>
          <w:szCs w:val="32"/>
        </w:rPr>
        <w:t>次系内举办的学术讲座。</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（四）有以下情况之一者均不能参加当年一、二等奖助金的评定：</w:t>
      </w:r>
    </w:p>
    <w:p w:rsidR="00111415"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sidR="00111415">
        <w:rPr>
          <w:rFonts w:ascii="仿宋_GB2312" w:eastAsia="仿宋_GB2312" w:hAnsi="仿宋_GB2312" w:cs="仿宋_GB2312" w:hint="eastAsia"/>
          <w:sz w:val="32"/>
          <w:szCs w:val="32"/>
        </w:rPr>
        <w:t>思想政治考核不合格者；</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sidR="000F070A">
        <w:rPr>
          <w:rFonts w:ascii="仿宋_GB2312" w:eastAsia="仿宋_GB2312" w:hAnsi="仿宋_GB2312" w:cs="仿宋_GB2312" w:hint="eastAsia"/>
          <w:sz w:val="32"/>
          <w:szCs w:val="32"/>
        </w:rPr>
        <w:t>参评年度有违反国家法律法规或违反校规校纪受纪律处分者；</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0F070A">
        <w:rPr>
          <w:rFonts w:ascii="仿宋_GB2312" w:eastAsia="仿宋_GB2312" w:hAnsi="仿宋_GB2312" w:cs="仿宋_GB2312" w:hint="eastAsia"/>
          <w:sz w:val="32"/>
          <w:szCs w:val="32"/>
        </w:rPr>
        <w:t>. 一学期累计缺勤2周及以上者；</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0F070A">
        <w:rPr>
          <w:rFonts w:ascii="仿宋_GB2312" w:eastAsia="仿宋_GB2312" w:hAnsi="仿宋_GB2312" w:cs="仿宋_GB2312" w:hint="eastAsia"/>
          <w:sz w:val="32"/>
          <w:szCs w:val="32"/>
        </w:rPr>
        <w:t xml:space="preserve">. 在提交的申请资料中，经核实确认提供不实信息或隐瞒不利信息者； </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0F070A">
        <w:rPr>
          <w:rFonts w:ascii="仿宋_GB2312" w:eastAsia="仿宋_GB2312" w:hAnsi="仿宋_GB2312" w:cs="仿宋_GB2312" w:hint="eastAsia"/>
          <w:sz w:val="32"/>
          <w:szCs w:val="32"/>
        </w:rPr>
        <w:t xml:space="preserve">. 考试作弊者； </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0F070A">
        <w:rPr>
          <w:rFonts w:ascii="仿宋_GB2312" w:eastAsia="仿宋_GB2312" w:hAnsi="仿宋_GB2312" w:cs="仿宋_GB2312" w:hint="eastAsia"/>
          <w:sz w:val="32"/>
          <w:szCs w:val="32"/>
        </w:rPr>
        <w:t xml:space="preserve">. 在学术研究中有作伪、抄袭、剽窃他人成果、论文一稿多投等违反学术道德行为者； </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000F070A">
        <w:rPr>
          <w:rFonts w:ascii="仿宋_GB2312" w:eastAsia="仿宋_GB2312" w:hAnsi="仿宋_GB2312" w:cs="仿宋_GB2312" w:hint="eastAsia"/>
          <w:sz w:val="32"/>
          <w:szCs w:val="32"/>
        </w:rPr>
        <w:t>. 参评学年度课程成绩有不合格或补考、重考者；</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8</w:t>
      </w:r>
      <w:r w:rsidR="000F070A">
        <w:rPr>
          <w:rFonts w:ascii="仿宋_GB2312" w:eastAsia="仿宋_GB2312" w:hAnsi="仿宋_GB2312" w:cs="仿宋_GB2312" w:hint="eastAsia"/>
          <w:sz w:val="32"/>
          <w:szCs w:val="32"/>
        </w:rPr>
        <w:t>.不在规定时间内回校注册且不请假者（请假及学籍管理相关规定参照最新版《中山大学学位与研究生教育工作手册》）；</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sidR="000F070A">
        <w:rPr>
          <w:rFonts w:ascii="仿宋_GB2312" w:eastAsia="仿宋_GB2312" w:hAnsi="仿宋_GB2312" w:cs="仿宋_GB2312" w:hint="eastAsia"/>
          <w:sz w:val="32"/>
          <w:szCs w:val="32"/>
        </w:rPr>
        <w:t>.依据《中山大学博士研究生担任教学助理工作实施方案（试行）》，博士研究生必须担任教学助理，凡是未按该方案要求而无故不履行该职责者，或担任教学助理而考核不合格者；</w:t>
      </w:r>
    </w:p>
    <w:p w:rsidR="007166A6" w:rsidRDefault="0011141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000F070A">
        <w:rPr>
          <w:rFonts w:ascii="仿宋_GB2312" w:eastAsia="仿宋_GB2312" w:hAnsi="仿宋_GB2312" w:cs="仿宋_GB2312" w:hint="eastAsia"/>
          <w:sz w:val="32"/>
          <w:szCs w:val="32"/>
        </w:rPr>
        <w:t>.导师及中山大学中文系认定的不予评奖的其他情形。</w:t>
      </w:r>
    </w:p>
    <w:p w:rsidR="007166A6" w:rsidRDefault="000F070A">
      <w:pPr>
        <w:numPr>
          <w:ilvl w:val="0"/>
          <w:numId w:val="2"/>
        </w:num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参评流程</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中文系组成奖助金评审委员会，负责统筹奖助金评审工作，奖助金评审委员会以系研究生教育与学位专门委员会成员为主，同时由系分管学生工作的领导和学生代表各一名组成。每个专业推选一位学生代表组成奖助金审核小组，由审核小组成员推选正副组长，负责奖助金评审具体工作，人数较多的专业可请系研究生会协助分数统计。</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助金评审委员会在系网站上公布当年的奖助金评定工作安排后，学生在截止日期之前提交本人上一学年度的学习成绩、学术活动情况、学生活动情况等材料，所有的加分材料须附有效证明。逾期不提供者，不予以加分。</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（三）中文系奖助金审核小组对学生的评选资格进行核定，对学生提交的各项材料进行审核与计算，具体要求如下：</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1.加分审核过程须公开，审核严谨认真，客观公正；</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审核内容包括：学生的成绩是否有误、学生的加分证明是否齐全、所提交加分材料是否具备加分资格（符合加分条件且时间在评选年度）、各项加分分值是否符合加分细则、各大类加分是否超过上限、公益证明材料是否齐全、所加总分是否正确等；</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3.审核过程中遇到争议以及无法按加分细则解释的情况，审核小组须反复讨论，并将讨论结果报告中文系研工办，由我系研工办广泛征询意见后确定最终结果；</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4.审核分为一次审核、二次审核，加分计算后不同专业间需进行互相审核并请审核的专业代表签名，审核小组正副组长进行第二轮审核后签名；</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5.审核小组成员涉及本人评分问题时必须回避，由小组其它成员对该成员予以评定。</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奖助金审核小组结合学习成绩、学术活动加分、学生活动加分等，计算出学生的总成绩，并根据总成绩的高低进行排名（硕士生在各专业内部排名），依据各年级奖助金名额的分配情况，评选出一、二、三等奖助金的候选人。</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（五）召开系研究生奖助金评审委员会工作会议，讨论并确定一、二、三等奖助金候选人名单。</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（六）系奖助金评审委员会对评选结果进行公示，公示期</w:t>
      </w:r>
      <w:r>
        <w:rPr>
          <w:rFonts w:ascii="仿宋_GB2312" w:eastAsia="仿宋_GB2312" w:hAnsi="仿宋_GB2312" w:cs="仿宋_GB2312" w:hint="eastAsia"/>
          <w:sz w:val="32"/>
          <w:szCs w:val="32"/>
        </w:rPr>
        <w:lastRenderedPageBreak/>
        <w:t>不得少于三天。学生可自行核对公示的各项内容，公示期内如有异议可以向奖助金评审委员会提出复议。</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学生有权对评选结果提出复议，基本程序为：当事人向该年级审核小组提出复议申请，经核实后确实存在问题的，附上审核小组的审核意见，交系研工办；经审核属实后，由研工办出具具体意见，更改结果并作出相关解释。</w:t>
      </w:r>
    </w:p>
    <w:p w:rsidR="007166A6" w:rsidRDefault="007166A6">
      <w:pPr>
        <w:rPr>
          <w:rFonts w:ascii="仿宋_GB2312" w:eastAsia="仿宋_GB2312" w:hAnsi="仿宋_GB2312" w:cs="仿宋_GB2312"/>
          <w:sz w:val="32"/>
          <w:szCs w:val="32"/>
        </w:rPr>
      </w:pPr>
    </w:p>
    <w:p w:rsidR="007166A6" w:rsidRDefault="000F070A">
      <w:pPr>
        <w:numPr>
          <w:ilvl w:val="0"/>
          <w:numId w:val="1"/>
        </w:numPr>
        <w:ind w:firstLine="54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实施细则</w:t>
      </w:r>
    </w:p>
    <w:p w:rsidR="007166A6" w:rsidRDefault="000F070A">
      <w:pPr>
        <w:numPr>
          <w:ilvl w:val="0"/>
          <w:numId w:val="3"/>
        </w:num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硕士生奖助金评选方案实施细则</w:t>
      </w: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根据学校分配的名额及我系各专业人数，按比例委托系奖助金评选工作小组计算一、二、三等奖助金名额在各专业（九个专业）的分布；获得“优生优培”资助计划的硕博连读研究生，奖助标准按照“优生优培”资助计划有关规定实施。</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（一）入学新生</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入学新生一、二等奖助金适当向推免生倾斜。一、二等奖助金的分配按面试后最终成绩先后在各专业进行排名。未获得一、二等奖助金的新生原则上自然获得三等奖助金。</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（二）在读二、三年级学生</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在读二、三年级学生以个人上一学年度的总成绩作为奖助金评选的标准：</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总成绩=学习成绩×60%＋学术活动加分×30%＋学生活动加分×10%</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一、二等奖助金的分配按总成绩高低进行排名。未获得一、二等奖助金的学生原则上自然获得三等奖助金。</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1.学习成绩</w:t>
      </w:r>
    </w:p>
    <w:p w:rsidR="007166A6" w:rsidRDefault="000F070A">
      <w:pPr>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（1）学习成绩总分为100分。学习成绩为上一学年度全部课程（必修+选修）的</w:t>
      </w:r>
      <w:r>
        <w:rPr>
          <w:rFonts w:ascii="仿宋_GB2312" w:eastAsia="仿宋_GB2312" w:hAnsi="仿宋" w:hint="eastAsia"/>
          <w:sz w:val="32"/>
          <w:szCs w:val="32"/>
        </w:rPr>
        <w:t>学业加权平均分。学习成绩直接从教务系统中读取（包括评选年度内所修的专业必修课、专业选修课、公共必修课所有科目的成绩）。</w:t>
      </w:r>
    </w:p>
    <w:p w:rsidR="007166A6" w:rsidRDefault="000F070A">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（2）学业加权平均分计算方法如下：</w:t>
      </w:r>
    </w:p>
    <w:p w:rsidR="007166A6" w:rsidRDefault="000F070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设学生全年所修的各科成绩为A1、A2、A3、……An，各科相应的学分分别为B1、B2、B3、……Bn，则学业加权平均分 = ∑(Ai*Bi) /∑Bi，（i =1，2，3， ……，n） </w:t>
      </w:r>
    </w:p>
    <w:p w:rsidR="007166A6" w:rsidRDefault="000F070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计算过程中，各科成绩均以教务系统导出的百分制成绩参与计算，算出加权平均分后折算为绩点制。（四舍五入，精确到小数点后六位）。</w:t>
      </w:r>
    </w:p>
    <w:p w:rsidR="007166A6" w:rsidRDefault="000F070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（3）保研学生申请英语免修者，此门课程不算入奖助金评选。若不申请免修，则按考试成绩算入总成绩。</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2.学术活动加分</w:t>
      </w: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学术活动主要包括在学术刊物上发表论文、作为主持人或课题组主要成员主持或参与课题研究（以申报书所列名单为准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出版专著、参加学术会议并发表论文等方面。学术活动加分不超过100分。具体细则如下：</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（1）在学术刊物上发表与专业相关的学术论文</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刊物级别以《中山大学人文社会科学重要期刊目录原则（试行）》（2014年修订版）为准，学校若有新则以最新目录为依据；</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论文合作完成者，须学生本人为第一作者，或导师为第一作者学生本人为第二作者；</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符合参评资格的学生在一类重要期刊上发表论文直接确定为一等奖助金获得者；</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在非一类重要核心期刊上发表论文：学生为独立作者的每篇加15分；导师为第一作者、学生本人为第二作者或学生本人为第一作者的，每篇加10分；</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在普通刊物上发表论文：学生为独立作者的每篇加5分；导师为第一作者、学生本人为第二作者或学生本人为第一作者的，每篇加3分；学生在其它刊物上发表论文加分的总分不得超过10分。</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在重要期刊上发表译作：学生本人为第一译者，每篇加3分；非第一译者，每篇加1.5分。学生在普通刊物上发表译作：学生本人为第一译者，每篇加1分；非第一译者，每篇加0.5</w:t>
      </w:r>
      <w:r>
        <w:rPr>
          <w:rFonts w:ascii="仿宋_GB2312" w:eastAsia="仿宋_GB2312" w:hAnsi="仿宋_GB2312" w:cs="仿宋_GB2312" w:hint="eastAsia"/>
          <w:sz w:val="32"/>
          <w:szCs w:val="32"/>
        </w:rPr>
        <w:lastRenderedPageBreak/>
        <w:t>分。</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 w:hint="eastAsia"/>
          <w:sz w:val="32"/>
          <w:szCs w:val="32"/>
        </w:rPr>
        <w:t>8</w:t>
      </w:r>
      <w:r>
        <w:rPr>
          <w:rFonts w:ascii="仿宋_GB2312" w:eastAsia="仿宋_GB2312" w:hAnsi="仿宋"/>
          <w:sz w:val="32"/>
          <w:szCs w:val="32"/>
        </w:rPr>
        <w:t>000</w:t>
      </w:r>
      <w:r>
        <w:rPr>
          <w:rFonts w:ascii="仿宋_GB2312" w:eastAsia="仿宋_GB2312" w:hAnsi="仿宋" w:hint="eastAsia"/>
          <w:sz w:val="32"/>
          <w:szCs w:val="32"/>
        </w:rPr>
        <w:t>字及以上学术综述、学术型书评按相应刊物级别论文标准进行加分。3</w:t>
      </w:r>
      <w:r>
        <w:rPr>
          <w:rFonts w:ascii="仿宋_GB2312" w:eastAsia="仿宋_GB2312" w:hAnsi="仿宋"/>
          <w:sz w:val="32"/>
          <w:szCs w:val="32"/>
        </w:rPr>
        <w:t>000</w:t>
      </w:r>
      <w:r>
        <w:rPr>
          <w:rFonts w:ascii="仿宋_GB2312" w:eastAsia="仿宋_GB2312" w:hAnsi="仿宋" w:hint="eastAsia"/>
          <w:sz w:val="32"/>
          <w:szCs w:val="32"/>
        </w:rPr>
        <w:t>至8</w:t>
      </w:r>
      <w:r>
        <w:rPr>
          <w:rFonts w:ascii="仿宋_GB2312" w:eastAsia="仿宋_GB2312" w:hAnsi="仿宋"/>
          <w:sz w:val="32"/>
          <w:szCs w:val="32"/>
        </w:rPr>
        <w:t>000</w:t>
      </w:r>
      <w:r>
        <w:rPr>
          <w:rFonts w:ascii="仿宋_GB2312" w:eastAsia="仿宋_GB2312" w:hAnsi="仿宋" w:hint="eastAsia"/>
          <w:sz w:val="32"/>
          <w:szCs w:val="32"/>
        </w:rPr>
        <w:t>字学术综述、学术型书评按相应刊物级别论文标准进行减半加分。重要期刊3</w:t>
      </w:r>
      <w:r>
        <w:rPr>
          <w:rFonts w:ascii="仿宋_GB2312" w:eastAsia="仿宋_GB2312" w:hAnsi="仿宋"/>
          <w:sz w:val="32"/>
          <w:szCs w:val="32"/>
        </w:rPr>
        <w:t>000</w:t>
      </w:r>
      <w:r>
        <w:rPr>
          <w:rFonts w:ascii="仿宋_GB2312" w:eastAsia="仿宋_GB2312" w:hAnsi="仿宋" w:hint="eastAsia"/>
          <w:sz w:val="32"/>
          <w:szCs w:val="32"/>
        </w:rPr>
        <w:t>字以下综述类论文分值等同于普通刊物论文，普通期刊3</w:t>
      </w:r>
      <w:r>
        <w:rPr>
          <w:rFonts w:ascii="仿宋_GB2312" w:eastAsia="仿宋_GB2312" w:hAnsi="仿宋"/>
          <w:sz w:val="32"/>
          <w:szCs w:val="32"/>
        </w:rPr>
        <w:t>000</w:t>
      </w:r>
      <w:r>
        <w:rPr>
          <w:rFonts w:ascii="仿宋_GB2312" w:eastAsia="仿宋_GB2312" w:hAnsi="仿宋" w:hint="eastAsia"/>
          <w:sz w:val="32"/>
          <w:szCs w:val="32"/>
        </w:rPr>
        <w:t>字以下综述类论文分值按普通刊物论文标准进行减半加分</w:t>
      </w:r>
      <w:r>
        <w:rPr>
          <w:rFonts w:ascii="仿宋_GB2312" w:eastAsia="仿宋_GB2312" w:hAnsi="仿宋_GB2312" w:cs="仿宋_GB2312" w:hint="eastAsia"/>
          <w:sz w:val="32"/>
          <w:szCs w:val="32"/>
        </w:rPr>
        <w:t>。</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所提交的论文必须是在奖学金评选年度正式发表的，且第一作者单位必须为中山大学中文系，不采纳文章录用通知；</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在国外学术期刊上发表学术论文，参照《中山大学人文社会科学重要期刊目录原则（试行）》（2014年修订版），经专家核定后,按国内论文的相应标准计分；</w:t>
      </w:r>
    </w:p>
    <w:p w:rsidR="007166A6" w:rsidRDefault="000F070A">
      <w:pPr>
        <w:numPr>
          <w:ilvl w:val="0"/>
          <w:numId w:val="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每篇论文字数原则上不少于3000字，每篇公开发表论文只计算一次加分（以最高分计）。</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（2）作为主持人或课题组主要成员主持或参与课题研究</w:t>
      </w:r>
    </w:p>
    <w:p w:rsidR="007166A6" w:rsidRDefault="000F070A">
      <w:pPr>
        <w:numPr>
          <w:ilvl w:val="0"/>
          <w:numId w:val="5"/>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学生主持省部级（含省部级）以上课题，每主持一项课题加25分；学生主持校级及以上课题，每主持一项课题加12分；</w:t>
      </w:r>
    </w:p>
    <w:p w:rsidR="007166A6" w:rsidRDefault="000F070A">
      <w:pPr>
        <w:numPr>
          <w:ilvl w:val="0"/>
          <w:numId w:val="5"/>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学生作为主要成员（除主持人之外的前三位参与人，以项目申报书为准），参与省部级（含省部级）以上课题的，每参与一项加10分；参与校级（含校级）以上课题的，每参与一项</w:t>
      </w:r>
      <w:r>
        <w:rPr>
          <w:rFonts w:ascii="仿宋_GB2312" w:eastAsia="仿宋_GB2312" w:hAnsi="仿宋_GB2312" w:cs="仿宋_GB2312" w:hint="eastAsia"/>
          <w:sz w:val="32"/>
          <w:szCs w:val="32"/>
        </w:rPr>
        <w:lastRenderedPageBreak/>
        <w:t>加5分；</w:t>
      </w:r>
    </w:p>
    <w:p w:rsidR="007166A6" w:rsidRDefault="000F070A">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每一项课题只能参评一次。</w:t>
      </w:r>
    </w:p>
    <w:p w:rsidR="007166A6" w:rsidRDefault="000F070A">
      <w:pPr>
        <w:numPr>
          <w:ilvl w:val="0"/>
          <w:numId w:val="5"/>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课题的依托单位必须为中山大学。</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（3）出版与专业相关的学术专著</w:t>
      </w:r>
    </w:p>
    <w:p w:rsidR="007166A6" w:rsidRDefault="000F070A">
      <w:pPr>
        <w:numPr>
          <w:ilvl w:val="0"/>
          <w:numId w:val="6"/>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学生个人每出版一部独立学术著作，加20分；学生个人每出版一部独立学术译著，加12分；</w:t>
      </w:r>
      <w:r>
        <w:rPr>
          <w:rFonts w:ascii="仿宋_GB2312" w:eastAsia="仿宋_GB2312" w:hAnsi="仿宋" w:hint="eastAsia"/>
          <w:sz w:val="32"/>
          <w:szCs w:val="32"/>
        </w:rPr>
        <w:t>汇编类学术著作、文化普及类分值等同于译作分值。</w:t>
      </w:r>
    </w:p>
    <w:p w:rsidR="007166A6" w:rsidRDefault="000F070A">
      <w:pPr>
        <w:numPr>
          <w:ilvl w:val="0"/>
          <w:numId w:val="6"/>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参著或参译的专著或教材必须是公开出版发行的，参著或参译字数为一万字以上，按所撰写章节、篇幅在全书中所占比例加分； </w:t>
      </w:r>
    </w:p>
    <w:p w:rsidR="007166A6" w:rsidRDefault="000F070A">
      <w:pPr>
        <w:numPr>
          <w:ilvl w:val="0"/>
          <w:numId w:val="6"/>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著作必须是研究生期间正式出版的，不采纳出版录用稿通知，且第一作者单位必须为中山大学中文系或中文系相关科研机构。</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（4）参加学术会议并宣读论文</w:t>
      </w:r>
    </w:p>
    <w:p w:rsidR="007166A6" w:rsidRDefault="000F070A">
      <w:pPr>
        <w:numPr>
          <w:ilvl w:val="0"/>
          <w:numId w:val="7"/>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参加学术会议（校级以上，不含校级）并宣读论文且学生为第一作者，每次加5分；</w:t>
      </w:r>
    </w:p>
    <w:p w:rsidR="007166A6" w:rsidRDefault="000F070A">
      <w:pPr>
        <w:numPr>
          <w:ilvl w:val="0"/>
          <w:numId w:val="7"/>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参加学术会议并宣读并论文加分的总分不得超过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w:t>
      </w:r>
    </w:p>
    <w:p w:rsidR="007166A6" w:rsidRDefault="000F070A">
      <w:pPr>
        <w:pStyle w:val="afb"/>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（5）荣誉奖励加分</w:t>
      </w:r>
    </w:p>
    <w:tbl>
      <w:tblPr>
        <w:tblW w:w="850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6"/>
        <w:gridCol w:w="2046"/>
        <w:gridCol w:w="1854"/>
        <w:gridCol w:w="1700"/>
        <w:gridCol w:w="1664"/>
      </w:tblGrid>
      <w:tr w:rsidR="007166A6">
        <w:trPr>
          <w:trHeight w:val="683"/>
        </w:trPr>
        <w:tc>
          <w:tcPr>
            <w:tcW w:w="1236" w:type="dxa"/>
            <w:tcBorders>
              <w:top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级别</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一等奖</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二等奖</w:t>
            </w:r>
          </w:p>
        </w:tc>
        <w:tc>
          <w:tcPr>
            <w:tcW w:w="1664" w:type="dxa"/>
            <w:tcBorders>
              <w:top w:val="single" w:sz="4" w:space="0" w:color="auto"/>
              <w:left w:val="single" w:sz="4" w:space="0" w:color="auto"/>
              <w:bottom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三等奖</w:t>
            </w:r>
          </w:p>
        </w:tc>
      </w:tr>
      <w:tr w:rsidR="007166A6">
        <w:trPr>
          <w:cantSplit/>
          <w:trHeight w:val="683"/>
        </w:trPr>
        <w:tc>
          <w:tcPr>
            <w:tcW w:w="1236" w:type="dxa"/>
            <w:vMerge w:val="restart"/>
            <w:tcBorders>
              <w:top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学术类</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荣誉</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国家级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系级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r>
      <w:tr w:rsidR="007166A6">
        <w:tblPrEx>
          <w:tblBorders>
            <w:insideH w:val="single" w:sz="4" w:space="0" w:color="auto"/>
            <w:insideV w:val="single" w:sz="4" w:space="0" w:color="auto"/>
          </w:tblBorders>
        </w:tblPrEx>
        <w:trPr>
          <w:trHeight w:val="2858"/>
        </w:trPr>
        <w:tc>
          <w:tcPr>
            <w:tcW w:w="123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说  明</w:t>
            </w:r>
          </w:p>
        </w:tc>
        <w:tc>
          <w:tcPr>
            <w:tcW w:w="7264" w:type="dxa"/>
            <w:gridSpan w:val="4"/>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1、学术类竞赛指科研项目成果奖、优秀学术论文奖、“挑战杯”课外学术科技作品竞赛获奖等。</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2、同一成果获得多项奖励，只按所获最高奖项计分。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3、不分等级的奖项按二等奖计分。</w:t>
            </w:r>
          </w:p>
        </w:tc>
      </w:tr>
    </w:tbl>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3.学生活动加分</w:t>
      </w:r>
    </w:p>
    <w:p w:rsidR="007166A6" w:rsidRDefault="000F070A">
      <w:pPr>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学生活动加分不超过100分且不超过学术活动加分。学生活动加分主要包括荣誉奖励加分、担任学生干部加分、参与公益活动加分</w:t>
      </w:r>
      <w:r>
        <w:rPr>
          <w:rFonts w:ascii="仿宋_GB2312" w:eastAsia="仿宋_GB2312" w:hAnsi="仿宋_GB2312" w:cs="仿宋_GB2312" w:hint="eastAsia"/>
          <w:b/>
          <w:sz w:val="32"/>
          <w:szCs w:val="32"/>
        </w:rPr>
        <w:t>（需要出示所在组织的盖章证明，证明其任职满一年，且表现良好）。</w:t>
      </w:r>
    </w:p>
    <w:p w:rsidR="007166A6" w:rsidRDefault="000F070A">
      <w:pPr>
        <w:numPr>
          <w:ilvl w:val="0"/>
          <w:numId w:val="8"/>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荣誉奖励加分</w:t>
      </w:r>
    </w:p>
    <w:tbl>
      <w:tblPr>
        <w:tblW w:w="850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6"/>
        <w:gridCol w:w="2046"/>
        <w:gridCol w:w="1854"/>
        <w:gridCol w:w="1700"/>
        <w:gridCol w:w="1664"/>
      </w:tblGrid>
      <w:tr w:rsidR="007166A6">
        <w:trPr>
          <w:trHeight w:val="683"/>
        </w:trPr>
        <w:tc>
          <w:tcPr>
            <w:tcW w:w="1236" w:type="dxa"/>
            <w:tcBorders>
              <w:top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级别</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一等奖</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二等奖</w:t>
            </w:r>
          </w:p>
        </w:tc>
        <w:tc>
          <w:tcPr>
            <w:tcW w:w="1664" w:type="dxa"/>
            <w:tcBorders>
              <w:top w:val="single" w:sz="4" w:space="0" w:color="auto"/>
              <w:left w:val="single" w:sz="4" w:space="0" w:color="auto"/>
              <w:bottom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三等奖</w:t>
            </w:r>
          </w:p>
        </w:tc>
      </w:tr>
      <w:tr w:rsidR="007166A6">
        <w:trPr>
          <w:cantSplit/>
          <w:trHeight w:val="683"/>
        </w:trPr>
        <w:tc>
          <w:tcPr>
            <w:tcW w:w="1236" w:type="dxa"/>
            <w:vMerge w:val="restart"/>
            <w:tcBorders>
              <w:top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非学术类荣誉</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r>
      <w:tr w:rsidR="007166A6">
        <w:trPr>
          <w:cantSplit/>
          <w:trHeight w:val="683"/>
        </w:trPr>
        <w:tc>
          <w:tcPr>
            <w:tcW w:w="1236" w:type="dxa"/>
            <w:vMerge/>
            <w:tcBorders>
              <w:right w:val="single" w:sz="4" w:space="0" w:color="auto"/>
            </w:tcBorders>
            <w:vAlign w:val="center"/>
          </w:tcPr>
          <w:p w:rsidR="007166A6" w:rsidRDefault="007166A6">
            <w:pPr>
              <w:jc w:val="cente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r>
      <w:tr w:rsidR="007166A6">
        <w:trPr>
          <w:cantSplit/>
          <w:trHeight w:val="683"/>
        </w:trPr>
        <w:tc>
          <w:tcPr>
            <w:tcW w:w="1236" w:type="dxa"/>
            <w:vMerge/>
            <w:tcBorders>
              <w:right w:val="single" w:sz="4" w:space="0" w:color="auto"/>
            </w:tcBorders>
            <w:vAlign w:val="center"/>
          </w:tcPr>
          <w:p w:rsidR="007166A6" w:rsidRDefault="007166A6">
            <w:pPr>
              <w:jc w:val="cente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r>
      <w:tr w:rsidR="007166A6">
        <w:trPr>
          <w:cantSplit/>
          <w:trHeight w:val="683"/>
        </w:trPr>
        <w:tc>
          <w:tcPr>
            <w:tcW w:w="1236" w:type="dxa"/>
            <w:vMerge/>
            <w:tcBorders>
              <w:right w:val="single" w:sz="4" w:space="0" w:color="auto"/>
            </w:tcBorders>
            <w:vAlign w:val="center"/>
          </w:tcPr>
          <w:p w:rsidR="007166A6" w:rsidRDefault="007166A6">
            <w:pPr>
              <w:jc w:val="cente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系级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4分</w:t>
            </w:r>
          </w:p>
        </w:tc>
      </w:tr>
      <w:tr w:rsidR="007166A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4586"/>
        </w:trPr>
        <w:tc>
          <w:tcPr>
            <w:tcW w:w="123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  明</w:t>
            </w:r>
          </w:p>
        </w:tc>
        <w:tc>
          <w:tcPr>
            <w:tcW w:w="7264" w:type="dxa"/>
            <w:gridSpan w:val="4"/>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1、非学术类荣誉指各类综合比赛获奖、获各级先进团体或个人、优秀学生干部等。</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2、同一作品获得多项奖励，只按所获最高奖项计分。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3、不分等级的奖项按二等奖计分。</w:t>
            </w:r>
          </w:p>
        </w:tc>
      </w:tr>
    </w:tbl>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先进集体和个人奖励、表彰等的加分</w:t>
      </w:r>
    </w:p>
    <w:tbl>
      <w:tblPr>
        <w:tblStyle w:val="af5"/>
        <w:tblW w:w="835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91"/>
        <w:gridCol w:w="1334"/>
        <w:gridCol w:w="1303"/>
        <w:gridCol w:w="1117"/>
        <w:gridCol w:w="1413"/>
      </w:tblGrid>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表彰级别</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国家级</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市级</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r>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先进个人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0.8</w:t>
            </w:r>
          </w:p>
        </w:tc>
      </w:tr>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先进集体主要负责人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0.6</w:t>
            </w:r>
          </w:p>
        </w:tc>
      </w:tr>
      <w:tr w:rsidR="007166A6">
        <w:trPr>
          <w:trHeight w:val="306"/>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先进集体一般负责人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0.3</w:t>
            </w:r>
          </w:p>
        </w:tc>
      </w:tr>
      <w:tr w:rsidR="007166A6">
        <w:trPr>
          <w:trHeight w:val="331"/>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先进集体一般成员</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0.3</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0.2</w:t>
            </w:r>
          </w:p>
        </w:tc>
      </w:tr>
    </w:tbl>
    <w:p w:rsidR="007166A6" w:rsidRDefault="007166A6">
      <w:pPr>
        <w:rPr>
          <w:rFonts w:ascii="仿宋_GB2312" w:eastAsia="仿宋_GB2312" w:hAnsi="仿宋_GB2312" w:cs="仿宋_GB2312"/>
          <w:sz w:val="32"/>
          <w:szCs w:val="32"/>
        </w:rPr>
      </w:pPr>
    </w:p>
    <w:p w:rsidR="007166A6" w:rsidRDefault="000F070A">
      <w:pPr>
        <w:numPr>
          <w:ilvl w:val="0"/>
          <w:numId w:val="8"/>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担任学生干部加分</w:t>
      </w:r>
    </w:p>
    <w:p w:rsidR="007166A6" w:rsidRDefault="000F070A">
      <w:pPr>
        <w:numPr>
          <w:ilvl w:val="0"/>
          <w:numId w:val="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校学生干部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4"/>
        <w:gridCol w:w="1286"/>
      </w:tblGrid>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担任职务</w:t>
            </w:r>
          </w:p>
        </w:tc>
        <w:tc>
          <w:tcPr>
            <w:tcW w:w="12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加分</w:t>
            </w:r>
          </w:p>
        </w:tc>
      </w:tr>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校研究生会主席</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校区研究生会主席、校研究生会副主席</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r>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校研究生会常委、部长，校团委委员、部长</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r>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校研究生会副部长、校团委副部长、校区团工委部长</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7166A6">
        <w:trPr>
          <w:trHeight w:val="67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校区研究生会干事、校区团工委干事</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7166A6">
        <w:trPr>
          <w:trHeight w:val="683"/>
        </w:trPr>
        <w:tc>
          <w:tcPr>
            <w:tcW w:w="771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其它</w:t>
            </w:r>
          </w:p>
        </w:tc>
        <w:tc>
          <w:tcPr>
            <w:tcW w:w="1286"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bl>
    <w:p w:rsidR="007166A6" w:rsidRDefault="000F070A">
      <w:pPr>
        <w:numPr>
          <w:ilvl w:val="0"/>
          <w:numId w:val="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系学生干部、各社团</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294"/>
      </w:tblGrid>
      <w:tr w:rsidR="007166A6">
        <w:trPr>
          <w:trHeight w:val="683"/>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担任职务</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加分</w:t>
            </w:r>
          </w:p>
        </w:tc>
      </w:tr>
      <w:tr w:rsidR="007166A6">
        <w:trPr>
          <w:trHeight w:val="683"/>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系研究生会主席</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7166A6">
        <w:trPr>
          <w:trHeight w:val="683"/>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系研究生会副主席、系研究生会秘书长、系团委委员</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r>
      <w:tr w:rsidR="007166A6">
        <w:trPr>
          <w:trHeight w:val="1356"/>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系研究生会部长、系研究生会副秘书长；各年级团支书、党支书；经学校批准成立的社团第一负责人；校级刊物主编</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7166A6">
        <w:trPr>
          <w:trHeight w:val="1356"/>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系研究生会副部长；经学校批准成立的社团副职负责人、各部部长；校级刊物副主编</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7166A6">
        <w:trPr>
          <w:trHeight w:val="693"/>
        </w:trPr>
        <w:tc>
          <w:tcPr>
            <w:tcW w:w="7686"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其它</w:t>
            </w:r>
          </w:p>
        </w:tc>
        <w:tc>
          <w:tcPr>
            <w:tcW w:w="1294"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bl>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说明：学生干部必须任期满一年，且工作认真，组织考察鉴定合格。表现差者或完全没有履责者，可不加分或酌情减分；同一学生在担任不同组织的学生干部，且达到以上基本加分资格，可累加，该项加分总分不得超过10分。</w:t>
      </w:r>
    </w:p>
    <w:p w:rsidR="007166A6" w:rsidRDefault="000F070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4.公益活动加分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为鼓励学生积极参加公益活动，凡一学年内参加公益活动的时长在50小时以上（含），均加1分。</w:t>
      </w:r>
    </w:p>
    <w:p w:rsidR="007166A6" w:rsidRDefault="007166A6">
      <w:pPr>
        <w:rPr>
          <w:rFonts w:ascii="仿宋_GB2312" w:eastAsia="仿宋_GB2312" w:hAnsi="仿宋_GB2312" w:cs="仿宋_GB2312"/>
          <w:sz w:val="32"/>
          <w:szCs w:val="32"/>
        </w:rPr>
      </w:pPr>
    </w:p>
    <w:p w:rsidR="007166A6" w:rsidRDefault="000F070A">
      <w:pPr>
        <w:numPr>
          <w:ilvl w:val="0"/>
          <w:numId w:val="3"/>
        </w:num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博士生奖助金评选方案实施细则</w:t>
      </w: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一等奖助金的获得者是获得“优生优培”资助计划的硕博连读研究生及直博生，奖助标准按照“优生优培”资助计划有关规定实施；二三等奖助金的名额由研究生院根据我系博士研究生的总人数按比例分配。</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（一）入学新生</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入学新生二等奖助金优先向硕博连读生倾斜，并主要结合考试情况，适当考虑论文发表情况；未获得一、二等奖助金的学生原则上考核合格自然获得三等奖助金。</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（二）在读二、三年级学生</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在读二、三年级主要根据学生的学术活动等情况，同时适当考虑学生的学生活动情况和各专业的平衡问题；未获得一、二等奖助金的学生原则上考核合格自然获得三等奖助金。</w:t>
      </w: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在读二、三年级学生以个人的综合成绩作为奖助金评选的标准：</w:t>
      </w:r>
    </w:p>
    <w:p w:rsidR="007166A6" w:rsidRDefault="000F070A">
      <w:p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综合成绩=学术活动加分+学生活动加分</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1.学术活动加分</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学术活动主要包括在学术刊物上发表论文、作为主持人或课题组主要成员主持或参与课题研究（以申报书所列名单为准）、出版专著、参加学术会议并发表论文等方面。具体细则如下：</w:t>
      </w:r>
    </w:p>
    <w:p w:rsidR="007166A6" w:rsidRDefault="000F070A">
      <w:pPr>
        <w:numPr>
          <w:ilvl w:val="0"/>
          <w:numId w:val="10"/>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在学术刊物上发表与专业相关的学术论文</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刊物级别以《中山大学人文社会科学重要期刊目录原则（试行）》（2014年修订版）为准，学校若有新则以最新目录为依据；</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论文合作完成者，须学生本人为第一作者，或导师为第一作者学生本人为第二作者；</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符合参评资格的学生在一类重要期刊上发表论文直接确定为二等奖助金获得者；</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在非一类重要核心期刊上发表论文：学生为独立作者的每篇加15分；导师为第一作者、学生本人为第二作者或学生本人为第一作者的，每篇加10分；</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在普通刊物上发表论文：学生为独立作者每篇加5分；导师为第一作者、学生本人为第二作者或学生本人为第一作者的，每篇加3分；学生在其它刊物上发表论文加分的总分不得超过10分；</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在一类重要期刊上发表译作：学生本人为第一译者，每篇加3分；非第一译者，每篇加1.5分。学生在普通刊物上发表</w:t>
      </w:r>
      <w:r>
        <w:rPr>
          <w:rFonts w:ascii="仿宋_GB2312" w:eastAsia="仿宋_GB2312" w:hAnsi="仿宋_GB2312" w:cs="仿宋_GB2312" w:hint="eastAsia"/>
          <w:sz w:val="32"/>
          <w:szCs w:val="32"/>
        </w:rPr>
        <w:lastRenderedPageBreak/>
        <w:t>译作：学生本人为第一译者，每篇加1分；非第一译者，每篇加0.5分。</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8000字及以上学术综述、学术型书评按相应刊物级别论文标准进行加分。3000至8000字学术综述、学术型书评按相应刊物级别论文标准进行减半加分。重要期刊3000字以下综述类分值等同于普通刊物论文，普通期刊3000字以下综述类论文分值按普通刊物论文标准进行减半加分</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所提交的论文必须是在奖学金评选年度期间正式发表的，且第一作者单位必须为中山大学中文系，不采纳文章录用通知；</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在国外学术期刊上发表学术论文，参照《中山大学人文社会科学重要期刊目录原则（试行）》（2014年修订版），经专家核定后,按国内论文的相应标准计分；</w:t>
      </w:r>
    </w:p>
    <w:p w:rsidR="007166A6" w:rsidRDefault="000F070A">
      <w:pPr>
        <w:numPr>
          <w:ilvl w:val="0"/>
          <w:numId w:val="11"/>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每篇论文字数原则上不少于3000字，每篇公开发表论文只计算一次加分（以最高分计）。</w:t>
      </w:r>
    </w:p>
    <w:p w:rsidR="007166A6" w:rsidRDefault="000F070A">
      <w:pPr>
        <w:numPr>
          <w:ilvl w:val="0"/>
          <w:numId w:val="10"/>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作为主持人或课题组主要成员主持或参与课题研究</w:t>
      </w:r>
    </w:p>
    <w:p w:rsidR="007166A6" w:rsidRDefault="000F070A">
      <w:pPr>
        <w:numPr>
          <w:ilvl w:val="0"/>
          <w:numId w:val="12"/>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学生主持省部级（含省部级）以上课题，每项课题加25分；学生主持校级及以上课题，每项课题加12分；</w:t>
      </w:r>
    </w:p>
    <w:p w:rsidR="007166A6" w:rsidRDefault="000F070A">
      <w:pPr>
        <w:numPr>
          <w:ilvl w:val="0"/>
          <w:numId w:val="12"/>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学生作为主要成员（除主持人之外的前三位参加者，以项目申报书为准），参与省部级（含省部级）以上课题的，每项</w:t>
      </w:r>
      <w:r>
        <w:rPr>
          <w:rFonts w:ascii="仿宋_GB2312" w:eastAsia="仿宋_GB2312" w:hAnsi="仿宋_GB2312" w:cs="仿宋_GB2312" w:hint="eastAsia"/>
          <w:sz w:val="32"/>
          <w:szCs w:val="32"/>
        </w:rPr>
        <w:lastRenderedPageBreak/>
        <w:t>课题加10分；参与校级及以上课题的，每项课题加5分；</w:t>
      </w:r>
    </w:p>
    <w:p w:rsidR="007166A6" w:rsidRDefault="000F070A">
      <w:pPr>
        <w:numPr>
          <w:ilvl w:val="0"/>
          <w:numId w:val="12"/>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每一项课题只能参评一次。</w:t>
      </w:r>
    </w:p>
    <w:p w:rsidR="007166A6" w:rsidRDefault="000F070A">
      <w:pPr>
        <w:numPr>
          <w:ilvl w:val="0"/>
          <w:numId w:val="12"/>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课题的依托单位必须为中山大学。</w:t>
      </w:r>
    </w:p>
    <w:p w:rsidR="007166A6" w:rsidRDefault="000F070A">
      <w:pPr>
        <w:numPr>
          <w:ilvl w:val="0"/>
          <w:numId w:val="10"/>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出版与专业相关的学术专著</w:t>
      </w:r>
    </w:p>
    <w:p w:rsidR="007166A6" w:rsidRDefault="000F070A">
      <w:pPr>
        <w:numPr>
          <w:ilvl w:val="0"/>
          <w:numId w:val="13"/>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学生个人每出版一部独立学术著作，加20分；学生个人每出版一部独立学术译著，加12分。</w:t>
      </w:r>
      <w:r>
        <w:rPr>
          <w:rFonts w:ascii="仿宋_GB2312" w:eastAsia="仿宋_GB2312" w:hAnsi="仿宋" w:hint="eastAsia"/>
          <w:sz w:val="32"/>
          <w:szCs w:val="32"/>
        </w:rPr>
        <w:t>汇编类学术著作、文化普及类分值等同于译作分值</w:t>
      </w:r>
      <w:r>
        <w:rPr>
          <w:rFonts w:ascii="仿宋_GB2312" w:eastAsia="仿宋_GB2312" w:hAnsi="仿宋_GB2312" w:cs="仿宋_GB2312" w:hint="eastAsia"/>
          <w:sz w:val="32"/>
          <w:szCs w:val="32"/>
        </w:rPr>
        <w:t>；</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B、参著或参译的专著或教材必须是公开出版发行的，参著或参译字数为一万字以上，按所撰写章节、篇幅在全书中所占比例加分；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C、著作必须是博士研究生期间正式出版的，不采纳录用稿通知，且第一作者单位必须为中山大学中文系或中文系相关科研机构。</w:t>
      </w:r>
    </w:p>
    <w:p w:rsidR="007166A6" w:rsidRDefault="000F070A">
      <w:pPr>
        <w:numPr>
          <w:ilvl w:val="0"/>
          <w:numId w:val="10"/>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参加学术会议并宣读论文</w:t>
      </w:r>
    </w:p>
    <w:p w:rsidR="007166A6" w:rsidRDefault="000F070A">
      <w:pPr>
        <w:numPr>
          <w:ilvl w:val="0"/>
          <w:numId w:val="1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参加学术会议（校级以上，不含校级）并宣读论文，每次加5分；</w:t>
      </w:r>
    </w:p>
    <w:p w:rsidR="007166A6" w:rsidRDefault="000F070A">
      <w:pPr>
        <w:numPr>
          <w:ilvl w:val="0"/>
          <w:numId w:val="14"/>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参加学术会议并宣读论文加分的总分不得超过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w:t>
      </w:r>
    </w:p>
    <w:p w:rsidR="007166A6" w:rsidRDefault="000F070A">
      <w:pPr>
        <w:pStyle w:val="afb"/>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（5）荣誉奖励加分</w:t>
      </w:r>
    </w:p>
    <w:tbl>
      <w:tblPr>
        <w:tblW w:w="850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6"/>
        <w:gridCol w:w="2046"/>
        <w:gridCol w:w="1854"/>
        <w:gridCol w:w="1700"/>
        <w:gridCol w:w="1664"/>
      </w:tblGrid>
      <w:tr w:rsidR="007166A6">
        <w:trPr>
          <w:trHeight w:val="683"/>
        </w:trPr>
        <w:tc>
          <w:tcPr>
            <w:tcW w:w="1236" w:type="dxa"/>
            <w:tcBorders>
              <w:top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级别</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一等奖</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二等奖</w:t>
            </w:r>
          </w:p>
        </w:tc>
        <w:tc>
          <w:tcPr>
            <w:tcW w:w="1664" w:type="dxa"/>
            <w:tcBorders>
              <w:top w:val="single" w:sz="4" w:space="0" w:color="auto"/>
              <w:left w:val="single" w:sz="4" w:space="0" w:color="auto"/>
              <w:bottom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三等奖</w:t>
            </w:r>
          </w:p>
        </w:tc>
      </w:tr>
      <w:tr w:rsidR="007166A6">
        <w:trPr>
          <w:cantSplit/>
          <w:trHeight w:val="683"/>
        </w:trPr>
        <w:tc>
          <w:tcPr>
            <w:tcW w:w="1236" w:type="dxa"/>
            <w:vMerge w:val="restart"/>
            <w:tcBorders>
              <w:top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学术类</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荣誉</w:t>
            </w: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国家级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r>
      <w:tr w:rsidR="007166A6">
        <w:trPr>
          <w:cantSplit/>
          <w:trHeight w:val="683"/>
        </w:trPr>
        <w:tc>
          <w:tcPr>
            <w:tcW w:w="1236"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46"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系级</w:t>
            </w:r>
          </w:p>
        </w:tc>
        <w:tc>
          <w:tcPr>
            <w:tcW w:w="1854"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70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664"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r>
      <w:tr w:rsidR="007166A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858"/>
        </w:trPr>
        <w:tc>
          <w:tcPr>
            <w:tcW w:w="1236"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说  明</w:t>
            </w:r>
          </w:p>
        </w:tc>
        <w:tc>
          <w:tcPr>
            <w:tcW w:w="7264" w:type="dxa"/>
            <w:gridSpan w:val="4"/>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1、学术类竞赛指科研项目成果奖、优秀学术论文奖、“挑战杯”课外学术科技作品竞赛获奖等。</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2、同一成果获得多项奖励，只按所获最高奖项计分。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3、不分等级的奖项按二等奖计分。</w:t>
            </w:r>
          </w:p>
        </w:tc>
      </w:tr>
    </w:tbl>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2.学生活动加分</w:t>
      </w:r>
    </w:p>
    <w:p w:rsidR="007166A6" w:rsidRDefault="000F070A">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学生活动加分不超过100分且不超过学术活动加分。学生活动加分主要包括荣誉奖励加分、担任学生干部加分</w:t>
      </w:r>
      <w:r>
        <w:rPr>
          <w:rFonts w:ascii="仿宋_GB2312" w:eastAsia="仿宋_GB2312" w:hAnsi="仿宋_GB2312" w:cs="仿宋_GB2312" w:hint="eastAsia"/>
          <w:b/>
          <w:sz w:val="32"/>
          <w:szCs w:val="32"/>
        </w:rPr>
        <w:t>（需要出示所在组织的盖章证明，证明其任职满一年，且表现良好）。</w:t>
      </w:r>
    </w:p>
    <w:p w:rsidR="007166A6" w:rsidRDefault="000F070A">
      <w:pPr>
        <w:numPr>
          <w:ilvl w:val="0"/>
          <w:numId w:val="15"/>
        </w:numPr>
        <w:ind w:firstLine="544"/>
        <w:rPr>
          <w:rFonts w:ascii="仿宋_GB2312" w:eastAsia="仿宋_GB2312" w:hAnsi="仿宋_GB2312" w:cs="仿宋_GB2312"/>
          <w:sz w:val="32"/>
          <w:szCs w:val="32"/>
        </w:rPr>
      </w:pPr>
      <w:r>
        <w:rPr>
          <w:rFonts w:ascii="仿宋_GB2312" w:eastAsia="仿宋_GB2312" w:hAnsi="仿宋_GB2312" w:cs="仿宋_GB2312" w:hint="eastAsia"/>
          <w:sz w:val="32"/>
          <w:szCs w:val="32"/>
        </w:rPr>
        <w:t>荣誉奖励加分</w:t>
      </w:r>
    </w:p>
    <w:tbl>
      <w:tblPr>
        <w:tblW w:w="8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2060"/>
        <w:gridCol w:w="1868"/>
        <w:gridCol w:w="1711"/>
        <w:gridCol w:w="1676"/>
      </w:tblGrid>
      <w:tr w:rsidR="007166A6">
        <w:trPr>
          <w:trHeight w:val="693"/>
        </w:trPr>
        <w:tc>
          <w:tcPr>
            <w:tcW w:w="1245" w:type="dxa"/>
            <w:tcBorders>
              <w:top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206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级别</w:t>
            </w:r>
          </w:p>
        </w:tc>
        <w:tc>
          <w:tcPr>
            <w:tcW w:w="1868"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一等奖</w:t>
            </w:r>
          </w:p>
        </w:tc>
        <w:tc>
          <w:tcPr>
            <w:tcW w:w="1711"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二等奖</w:t>
            </w:r>
          </w:p>
        </w:tc>
        <w:tc>
          <w:tcPr>
            <w:tcW w:w="1676"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三等奖</w:t>
            </w:r>
          </w:p>
        </w:tc>
      </w:tr>
      <w:tr w:rsidR="007166A6">
        <w:trPr>
          <w:cantSplit/>
          <w:trHeight w:val="693"/>
        </w:trPr>
        <w:tc>
          <w:tcPr>
            <w:tcW w:w="1245" w:type="dxa"/>
            <w:vMerge w:val="restart"/>
            <w:tcBorders>
              <w:top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非学术类荣誉</w:t>
            </w:r>
          </w:p>
        </w:tc>
        <w:tc>
          <w:tcPr>
            <w:tcW w:w="206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国家级</w:t>
            </w:r>
          </w:p>
        </w:tc>
        <w:tc>
          <w:tcPr>
            <w:tcW w:w="1868"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15分</w:t>
            </w:r>
          </w:p>
        </w:tc>
        <w:tc>
          <w:tcPr>
            <w:tcW w:w="1711"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676"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r>
      <w:tr w:rsidR="007166A6">
        <w:trPr>
          <w:cantSplit/>
          <w:trHeight w:val="693"/>
        </w:trPr>
        <w:tc>
          <w:tcPr>
            <w:tcW w:w="1245" w:type="dxa"/>
            <w:vMerge w:val="restart"/>
            <w:tcBorders>
              <w:right w:val="single" w:sz="4" w:space="0" w:color="auto"/>
            </w:tcBorders>
            <w:vAlign w:val="center"/>
          </w:tcPr>
          <w:p w:rsidR="007166A6" w:rsidRDefault="007166A6">
            <w:pPr>
              <w:rPr>
                <w:rFonts w:ascii="仿宋_GB2312" w:eastAsia="仿宋_GB2312" w:hAnsi="仿宋_GB2312" w:cs="仿宋_GB2312"/>
                <w:sz w:val="32"/>
                <w:szCs w:val="32"/>
              </w:rPr>
            </w:pPr>
          </w:p>
          <w:p w:rsidR="007166A6" w:rsidRDefault="007166A6">
            <w:pPr>
              <w:rPr>
                <w:rFonts w:ascii="仿宋_GB2312" w:eastAsia="仿宋_GB2312" w:hAnsi="仿宋_GB2312" w:cs="仿宋_GB2312"/>
                <w:sz w:val="32"/>
                <w:szCs w:val="32"/>
              </w:rPr>
            </w:pPr>
          </w:p>
          <w:p w:rsidR="007166A6" w:rsidRDefault="007166A6">
            <w:pPr>
              <w:rPr>
                <w:rFonts w:ascii="仿宋_GB2312" w:eastAsia="仿宋_GB2312" w:hAnsi="仿宋_GB2312" w:cs="仿宋_GB2312"/>
                <w:sz w:val="32"/>
                <w:szCs w:val="32"/>
              </w:rPr>
            </w:pPr>
          </w:p>
        </w:tc>
        <w:tc>
          <w:tcPr>
            <w:tcW w:w="206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868"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12分</w:t>
            </w:r>
          </w:p>
        </w:tc>
        <w:tc>
          <w:tcPr>
            <w:tcW w:w="1711"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676"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r>
      <w:tr w:rsidR="007166A6">
        <w:trPr>
          <w:cantSplit/>
          <w:trHeight w:val="693"/>
        </w:trPr>
        <w:tc>
          <w:tcPr>
            <w:tcW w:w="1245"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6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c>
          <w:tcPr>
            <w:tcW w:w="1868"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10分</w:t>
            </w:r>
          </w:p>
        </w:tc>
        <w:tc>
          <w:tcPr>
            <w:tcW w:w="1711"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676"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r>
      <w:tr w:rsidR="007166A6">
        <w:trPr>
          <w:cantSplit/>
          <w:trHeight w:val="693"/>
        </w:trPr>
        <w:tc>
          <w:tcPr>
            <w:tcW w:w="1245" w:type="dxa"/>
            <w:vMerge/>
            <w:tcBorders>
              <w:right w:val="single" w:sz="4" w:space="0" w:color="auto"/>
            </w:tcBorders>
            <w:vAlign w:val="center"/>
          </w:tcPr>
          <w:p w:rsidR="007166A6" w:rsidRDefault="007166A6">
            <w:pPr>
              <w:rPr>
                <w:rFonts w:ascii="仿宋_GB2312" w:eastAsia="仿宋_GB2312" w:hAnsi="仿宋_GB2312" w:cs="仿宋_GB2312"/>
                <w:sz w:val="32"/>
                <w:szCs w:val="32"/>
              </w:rPr>
            </w:pPr>
          </w:p>
        </w:tc>
        <w:tc>
          <w:tcPr>
            <w:tcW w:w="2060"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系级</w:t>
            </w:r>
          </w:p>
        </w:tc>
        <w:tc>
          <w:tcPr>
            <w:tcW w:w="1868"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8分</w:t>
            </w:r>
          </w:p>
        </w:tc>
        <w:tc>
          <w:tcPr>
            <w:tcW w:w="1711" w:type="dxa"/>
            <w:tcBorders>
              <w:top w:val="single" w:sz="4" w:space="0" w:color="auto"/>
              <w:left w:val="single" w:sz="4" w:space="0" w:color="auto"/>
              <w:bottom w:val="single" w:sz="4" w:space="0" w:color="auto"/>
              <w:right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6分</w:t>
            </w:r>
          </w:p>
        </w:tc>
        <w:tc>
          <w:tcPr>
            <w:tcW w:w="1676" w:type="dxa"/>
            <w:tcBorders>
              <w:top w:val="single" w:sz="4" w:space="0" w:color="auto"/>
              <w:left w:val="single" w:sz="4" w:space="0" w:color="auto"/>
              <w:bottom w:val="single" w:sz="4" w:space="0" w:color="auto"/>
            </w:tcBorders>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4分</w:t>
            </w:r>
          </w:p>
        </w:tc>
      </w:tr>
      <w:tr w:rsidR="007166A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4120"/>
        </w:trPr>
        <w:tc>
          <w:tcPr>
            <w:tcW w:w="1245" w:type="dxa"/>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  明</w:t>
            </w:r>
          </w:p>
        </w:tc>
        <w:tc>
          <w:tcPr>
            <w:tcW w:w="7315" w:type="dxa"/>
            <w:gridSpan w:val="4"/>
            <w:tcBorders>
              <w:top w:val="single" w:sz="4" w:space="0" w:color="auto"/>
              <w:left w:val="single" w:sz="4" w:space="0" w:color="auto"/>
              <w:bottom w:val="single" w:sz="4" w:space="0" w:color="auto"/>
              <w:right w:val="single" w:sz="4" w:space="0" w:color="auto"/>
            </w:tcBorders>
            <w:vAlign w:val="center"/>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1、非学术类荣誉指各类综合比赛获奖、获各级先进团体或个人、优秀学生干部等。</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2、同一作品获得多项奖励，只按所获最高奖项计分。</w:t>
            </w: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3、不分等级的奖项按二等奖计分。</w:t>
            </w:r>
          </w:p>
        </w:tc>
      </w:tr>
    </w:tbl>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先进集体和个人奖励、表彰等加分</w:t>
      </w:r>
    </w:p>
    <w:tbl>
      <w:tblPr>
        <w:tblStyle w:val="af5"/>
        <w:tblW w:w="835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91"/>
        <w:gridCol w:w="1334"/>
        <w:gridCol w:w="1303"/>
        <w:gridCol w:w="1117"/>
        <w:gridCol w:w="1413"/>
      </w:tblGrid>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表彰级别</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国家级</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省级</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市级</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校级</w:t>
            </w:r>
          </w:p>
        </w:tc>
      </w:tr>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先进个人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0.8</w:t>
            </w:r>
          </w:p>
        </w:tc>
      </w:tr>
      <w:tr w:rsidR="007166A6">
        <w:trPr>
          <w:trHeight w:val="318"/>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先进集体主要负责人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0.6</w:t>
            </w:r>
          </w:p>
        </w:tc>
      </w:tr>
      <w:tr w:rsidR="007166A6">
        <w:trPr>
          <w:trHeight w:val="306"/>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先进集体一般负责人</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0.3</w:t>
            </w:r>
          </w:p>
        </w:tc>
      </w:tr>
      <w:tr w:rsidR="007166A6">
        <w:trPr>
          <w:trHeight w:val="331"/>
          <w:jc w:val="center"/>
        </w:trPr>
        <w:tc>
          <w:tcPr>
            <w:tcW w:w="319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先进集体一般成员</w:t>
            </w:r>
          </w:p>
        </w:tc>
        <w:tc>
          <w:tcPr>
            <w:tcW w:w="1334"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30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c>
          <w:tcPr>
            <w:tcW w:w="1117"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0.3</w:t>
            </w:r>
          </w:p>
        </w:tc>
        <w:tc>
          <w:tcPr>
            <w:tcW w:w="1413"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0.2</w:t>
            </w:r>
          </w:p>
        </w:tc>
      </w:tr>
    </w:tbl>
    <w:p w:rsidR="007166A6" w:rsidRDefault="007166A6">
      <w:pPr>
        <w:rPr>
          <w:rFonts w:ascii="仿宋_GB2312" w:eastAsia="仿宋_GB2312" w:hAnsi="仿宋_GB2312" w:cs="仿宋_GB2312"/>
          <w:sz w:val="32"/>
          <w:szCs w:val="32"/>
        </w:rPr>
      </w:pPr>
    </w:p>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（2）担任学生干部加分</w:t>
      </w:r>
    </w:p>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A、校学生干部</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1"/>
        <w:gridCol w:w="1339"/>
      </w:tblGrid>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担任职务</w:t>
            </w:r>
          </w:p>
        </w:tc>
        <w:tc>
          <w:tcPr>
            <w:tcW w:w="1339"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加分</w:t>
            </w:r>
          </w:p>
        </w:tc>
      </w:tr>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校研究生会主席</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校区研究生会主席、校研究生会副主席</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r>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校研究生会常委、部长，校团委委员、部长</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r>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校研究生会副部长、校团委副部长、校区团工委部长</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7166A6">
        <w:trPr>
          <w:trHeight w:val="707"/>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校区研究生会干事、校区团工委干事</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7166A6">
        <w:trPr>
          <w:trHeight w:val="718"/>
        </w:trPr>
        <w:tc>
          <w:tcPr>
            <w:tcW w:w="7581"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其它</w:t>
            </w:r>
          </w:p>
        </w:tc>
        <w:tc>
          <w:tcPr>
            <w:tcW w:w="1339"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bl>
    <w:p w:rsidR="007166A6" w:rsidRDefault="000F070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B、系学生干部、各社团</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0"/>
        <w:gridCol w:w="1360"/>
      </w:tblGrid>
      <w:tr w:rsidR="007166A6">
        <w:trPr>
          <w:trHeight w:val="677"/>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担任职务</w:t>
            </w:r>
          </w:p>
        </w:tc>
        <w:tc>
          <w:tcPr>
            <w:tcW w:w="136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加分</w:t>
            </w:r>
          </w:p>
        </w:tc>
      </w:tr>
      <w:tr w:rsidR="007166A6">
        <w:trPr>
          <w:trHeight w:val="677"/>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系团委副书记、系研究生会主席</w:t>
            </w:r>
          </w:p>
        </w:tc>
        <w:tc>
          <w:tcPr>
            <w:tcW w:w="1360"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7166A6">
        <w:trPr>
          <w:trHeight w:val="677"/>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系研究生会副主席、系研究生会秘书长、系团委委员</w:t>
            </w:r>
          </w:p>
        </w:tc>
        <w:tc>
          <w:tcPr>
            <w:tcW w:w="1360"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r>
      <w:tr w:rsidR="007166A6">
        <w:trPr>
          <w:trHeight w:val="1377"/>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系研究生会部长、系研究生会副秘书长；各年级团支书、党支书；经学校批准成立的社团第一负责人；校级刊物主编</w:t>
            </w:r>
          </w:p>
        </w:tc>
        <w:tc>
          <w:tcPr>
            <w:tcW w:w="1360"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7166A6">
        <w:trPr>
          <w:trHeight w:val="1344"/>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系研究生会副部长；经学校批准成立的社团副职负责人、各部部长；校级刊物副主编</w:t>
            </w:r>
          </w:p>
        </w:tc>
        <w:tc>
          <w:tcPr>
            <w:tcW w:w="1360"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7166A6">
        <w:trPr>
          <w:trHeight w:val="687"/>
        </w:trPr>
        <w:tc>
          <w:tcPr>
            <w:tcW w:w="7540" w:type="dxa"/>
          </w:tcPr>
          <w:p w:rsidR="007166A6" w:rsidRDefault="000F070A">
            <w:pPr>
              <w:rPr>
                <w:rFonts w:ascii="仿宋_GB2312" w:eastAsia="仿宋_GB2312" w:hAnsi="仿宋_GB2312" w:cs="仿宋_GB2312"/>
                <w:sz w:val="32"/>
                <w:szCs w:val="32"/>
              </w:rPr>
            </w:pPr>
            <w:r>
              <w:rPr>
                <w:rFonts w:ascii="仿宋_GB2312" w:eastAsia="仿宋_GB2312" w:hAnsi="仿宋_GB2312" w:cs="仿宋_GB2312" w:hint="eastAsia"/>
                <w:sz w:val="32"/>
                <w:szCs w:val="32"/>
              </w:rPr>
              <w:t>其它</w:t>
            </w:r>
          </w:p>
        </w:tc>
        <w:tc>
          <w:tcPr>
            <w:tcW w:w="1360" w:type="dxa"/>
            <w:vAlign w:val="center"/>
          </w:tcPr>
          <w:p w:rsidR="007166A6" w:rsidRDefault="000F070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bl>
    <w:p w:rsidR="007166A6" w:rsidRDefault="000F070A">
      <w:pPr>
        <w:ind w:firstLine="552"/>
        <w:rPr>
          <w:rFonts w:ascii="仿宋_GB2312" w:eastAsia="仿宋_GB2312" w:hAnsi="仿宋_GB2312" w:cs="仿宋_GB2312"/>
          <w:sz w:val="32"/>
          <w:szCs w:val="32"/>
        </w:rPr>
      </w:pPr>
      <w:r>
        <w:rPr>
          <w:rFonts w:ascii="仿宋_GB2312" w:eastAsia="仿宋_GB2312" w:hAnsi="仿宋_GB2312" w:cs="仿宋_GB2312" w:hint="eastAsia"/>
          <w:sz w:val="32"/>
          <w:szCs w:val="32"/>
        </w:rPr>
        <w:t>C、说明：学生干部必须任期满一年，且工作认真，组织考察</w:t>
      </w:r>
      <w:r w:rsidR="008A5D0F">
        <w:rPr>
          <w:rFonts w:ascii="仿宋_GB2312" w:eastAsia="仿宋_GB2312" w:hAnsi="仿宋_GB2312" w:cs="仿宋_GB2312" w:hint="eastAsia"/>
          <w:sz w:val="32"/>
          <w:szCs w:val="32"/>
        </w:rPr>
        <w:t>鉴定</w:t>
      </w:r>
      <w:r>
        <w:rPr>
          <w:rFonts w:ascii="仿宋_GB2312" w:eastAsia="仿宋_GB2312" w:hAnsi="仿宋_GB2312" w:cs="仿宋_GB2312" w:hint="eastAsia"/>
          <w:sz w:val="32"/>
          <w:szCs w:val="32"/>
        </w:rPr>
        <w:t>合格。表现差者或完全没有履责者，可不加分或酌情减分；同一学生在担任不同组织的学生干部，且达到以上基本加分资格，可累加，该项加分总分不得超过10分。</w:t>
      </w:r>
    </w:p>
    <w:p w:rsidR="007166A6" w:rsidRDefault="007166A6">
      <w:pPr>
        <w:ind w:firstLine="552"/>
        <w:rPr>
          <w:rFonts w:ascii="仿宋_GB2312" w:eastAsia="仿宋_GB2312" w:hAnsi="仿宋_GB2312" w:cs="仿宋_GB2312"/>
          <w:sz w:val="32"/>
          <w:szCs w:val="32"/>
        </w:rPr>
      </w:pPr>
    </w:p>
    <w:p w:rsidR="007166A6" w:rsidRDefault="000F070A">
      <w:pPr>
        <w:numPr>
          <w:ilvl w:val="0"/>
          <w:numId w:val="1"/>
        </w:numPr>
        <w:ind w:firstLine="54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附则</w:t>
      </w:r>
    </w:p>
    <w:p w:rsidR="007166A6" w:rsidRDefault="000F070A">
      <w:pPr>
        <w:widowControl/>
        <w:tabs>
          <w:tab w:val="left" w:pos="9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一、本方案解释权和修改权属于中山大学中文系。</w:t>
      </w:r>
    </w:p>
    <w:p w:rsidR="007166A6" w:rsidRDefault="000F070A">
      <w:pPr>
        <w:widowControl/>
        <w:tabs>
          <w:tab w:val="left" w:pos="9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二、中山大学中文系其他研究生</w:t>
      </w:r>
      <w:r>
        <w:rPr>
          <w:rFonts w:ascii="仿宋_GB2312" w:eastAsia="仿宋_GB2312" w:hAnsi="仿宋_GB2312" w:cs="仿宋_GB2312" w:hint="eastAsia"/>
          <w:sz w:val="32"/>
          <w:szCs w:val="32"/>
        </w:rPr>
        <w:t>奖助学金评定参照本办法执行；</w:t>
      </w:r>
    </w:p>
    <w:p w:rsidR="007166A6" w:rsidRDefault="000F070A">
      <w:pPr>
        <w:widowControl/>
        <w:tabs>
          <w:tab w:val="left" w:pos="9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三、其他未尽事宜请参照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中山大学研究生奖助规定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中大研院〔2018〕269号</w:t>
      </w:r>
      <w:r>
        <w:rPr>
          <w:rFonts w:ascii="仿宋_GB2312" w:eastAsia="仿宋_GB2312" w:hAnsi="仿宋_GB2312" w:cs="仿宋_GB2312" w:hint="eastAsia"/>
          <w:sz w:val="32"/>
          <w:szCs w:val="32"/>
        </w:rPr>
        <w:t>）《中山大学博士研究生“优生优培”资助计划实施办法》（</w:t>
      </w:r>
      <w:r>
        <w:rPr>
          <w:rFonts w:ascii="仿宋_GB2312" w:eastAsia="仿宋_GB2312" w:hAnsi="仿宋_GB2312" w:cs="仿宋_GB2312"/>
          <w:sz w:val="32"/>
          <w:szCs w:val="32"/>
        </w:rPr>
        <w:t>中大研院〔201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93</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中山大学研究生奖助规定实施细则》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中大研院〔2019〕94号</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，或者由系研究生奖助金评选工作领导小组研究决定。</w:t>
      </w:r>
    </w:p>
    <w:p w:rsidR="007166A6" w:rsidRDefault="000F070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kern w:val="0"/>
          <w:sz w:val="32"/>
          <w:szCs w:val="32"/>
        </w:rPr>
        <w:t>本</w:t>
      </w:r>
      <w:r>
        <w:rPr>
          <w:rFonts w:ascii="仿宋_GB2312" w:eastAsia="仿宋_GB2312" w:hAnsi="仿宋_GB2312" w:cs="仿宋_GB2312" w:hint="eastAsia"/>
          <w:kern w:val="0"/>
          <w:sz w:val="32"/>
          <w:szCs w:val="32"/>
        </w:rPr>
        <w:t>办法</w:t>
      </w:r>
      <w:r>
        <w:rPr>
          <w:rFonts w:ascii="仿宋_GB2312" w:eastAsia="仿宋_GB2312" w:hAnsi="仿宋_GB2312" w:cs="仿宋_GB2312"/>
          <w:kern w:val="0"/>
          <w:sz w:val="32"/>
          <w:szCs w:val="32"/>
        </w:rPr>
        <w:t>经</w:t>
      </w:r>
      <w:r>
        <w:rPr>
          <w:rFonts w:ascii="仿宋_GB2312" w:eastAsia="仿宋_GB2312" w:hAnsi="仿宋_GB2312" w:cs="仿宋_GB2312" w:hint="eastAsia"/>
          <w:kern w:val="0"/>
          <w:sz w:val="32"/>
          <w:szCs w:val="32"/>
        </w:rPr>
        <w:t>中文系党政联席</w:t>
      </w:r>
      <w:r>
        <w:rPr>
          <w:rFonts w:ascii="仿宋_GB2312" w:eastAsia="仿宋_GB2312" w:hAnsi="仿宋_GB2312" w:cs="仿宋_GB2312"/>
          <w:kern w:val="0"/>
          <w:sz w:val="32"/>
          <w:szCs w:val="32"/>
        </w:rPr>
        <w:t>会会议审议通过，自发布之日起施行。原《中山大学</w:t>
      </w:r>
      <w:r>
        <w:rPr>
          <w:rFonts w:ascii="仿宋_GB2312" w:eastAsia="仿宋_GB2312" w:hAnsi="仿宋_GB2312" w:cs="仿宋_GB2312" w:hint="eastAsia"/>
          <w:kern w:val="0"/>
          <w:sz w:val="32"/>
          <w:szCs w:val="32"/>
        </w:rPr>
        <w:t>中文系研究生奖助金评选办法（试行）</w:t>
      </w:r>
      <w:r>
        <w:rPr>
          <w:rFonts w:ascii="仿宋_GB2312" w:eastAsia="仿宋_GB2312" w:hAnsi="仿宋_GB2312" w:cs="仿宋_GB2312"/>
          <w:kern w:val="0"/>
          <w:sz w:val="32"/>
          <w:szCs w:val="32"/>
        </w:rPr>
        <w:t>》（中</w:t>
      </w:r>
      <w:r>
        <w:rPr>
          <w:rFonts w:ascii="仿宋_GB2312" w:eastAsia="仿宋_GB2312" w:hAnsi="仿宋_GB2312" w:cs="仿宋_GB2312" w:hint="eastAsia"/>
          <w:kern w:val="0"/>
          <w:sz w:val="32"/>
          <w:szCs w:val="32"/>
        </w:rPr>
        <w:t>文</w:t>
      </w:r>
      <w:r>
        <w:rPr>
          <w:rFonts w:ascii="仿宋_GB2312" w:eastAsia="仿宋_GB2312" w:hAnsi="仿宋_GB2312" w:cs="仿宋_GB2312"/>
          <w:kern w:val="0"/>
          <w:sz w:val="32"/>
          <w:szCs w:val="32"/>
        </w:rPr>
        <w:t>〔201</w:t>
      </w: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〕34号）同时废止。</w:t>
      </w:r>
    </w:p>
    <w:p w:rsidR="007166A6" w:rsidRDefault="007166A6">
      <w:pPr>
        <w:ind w:firstLineChars="200" w:firstLine="640"/>
        <w:rPr>
          <w:rFonts w:ascii="宋体" w:hAnsi="宋体"/>
          <w:sz w:val="32"/>
          <w:szCs w:val="32"/>
        </w:rPr>
      </w:pPr>
    </w:p>
    <w:p w:rsidR="007166A6" w:rsidRDefault="000F070A">
      <w:pPr>
        <w:widowControl/>
        <w:jc w:val="left"/>
        <w:rPr>
          <w:rFonts w:ascii="仿宋" w:eastAsia="仿宋_GB2312" w:hAnsi="仿宋"/>
          <w:sz w:val="32"/>
          <w:szCs w:val="32"/>
        </w:rPr>
      </w:pPr>
      <w:r>
        <w:rPr>
          <w:rFonts w:ascii="宋体" w:hAnsi="宋体" w:hint="eastAsia"/>
          <w:sz w:val="32"/>
          <w:szCs w:val="32"/>
        </w:rPr>
        <w:t xml:space="preserve">  </w:t>
      </w:r>
    </w:p>
    <w:p w:rsidR="007166A6" w:rsidRDefault="007166A6">
      <w:pPr>
        <w:widowControl/>
        <w:jc w:val="left"/>
        <w:rPr>
          <w:rFonts w:ascii="仿宋" w:eastAsia="仿宋_GB2312" w:hAnsi="仿宋"/>
          <w:sz w:val="32"/>
          <w:szCs w:val="32"/>
        </w:rPr>
      </w:pPr>
    </w:p>
    <w:p w:rsidR="007166A6" w:rsidRDefault="000F070A">
      <w:pPr>
        <w:tabs>
          <w:tab w:val="left" w:pos="7920"/>
        </w:tabs>
        <w:adjustRightInd w:val="0"/>
        <w:snapToGrid w:val="0"/>
        <w:spacing w:line="560" w:lineRule="atLeast"/>
        <w:ind w:rightChars="1119" w:right="2350"/>
        <w:jc w:val="right"/>
        <w:rPr>
          <w:rFonts w:ascii="仿宋" w:eastAsia="仿宋_GB2312" w:hAnsi="仿宋"/>
          <w:color w:val="000000"/>
          <w:spacing w:val="-6"/>
          <w:sz w:val="18"/>
          <w:szCs w:val="18"/>
        </w:rPr>
      </w:pPr>
      <w:r>
        <w:rPr>
          <w:rFonts w:ascii="仿宋" w:eastAsia="仿宋_GB2312" w:hAnsi="仿宋" w:hint="eastAsia"/>
          <w:color w:val="000000"/>
          <w:spacing w:val="20"/>
          <w:sz w:val="32"/>
        </w:rPr>
        <w:t xml:space="preserve">  </w:t>
      </w:r>
      <w:r>
        <w:rPr>
          <w:rFonts w:ascii="仿宋" w:eastAsia="仿宋_GB2312" w:hAnsi="仿宋" w:hint="eastAsia"/>
          <w:color w:val="000000"/>
          <w:spacing w:val="20"/>
          <w:sz w:val="32"/>
        </w:rPr>
        <w:t>中国语言文学系</w:t>
      </w:r>
    </w:p>
    <w:p w:rsidR="007166A6" w:rsidRDefault="000F070A">
      <w:pPr>
        <w:adjustRightInd w:val="0"/>
        <w:snapToGrid w:val="0"/>
        <w:spacing w:line="560" w:lineRule="atLeast"/>
        <w:ind w:right="1150" w:firstLine="720"/>
        <w:jc w:val="center"/>
        <w:rPr>
          <w:rFonts w:ascii="仿宋" w:eastAsia="仿宋_GB2312" w:hAnsi="仿宋"/>
          <w:color w:val="000000"/>
          <w:sz w:val="18"/>
        </w:rPr>
      </w:pPr>
      <w:r>
        <w:rPr>
          <w:rFonts w:ascii="仿宋" w:eastAsia="仿宋_GB2312" w:hAnsi="仿宋" w:hint="eastAsia"/>
          <w:color w:val="000000"/>
          <w:spacing w:val="20"/>
          <w:sz w:val="32"/>
        </w:rPr>
        <w:t xml:space="preserve">           20</w:t>
      </w:r>
      <w:r>
        <w:rPr>
          <w:rFonts w:ascii="仿宋" w:eastAsia="仿宋_GB2312" w:hAnsi="仿宋" w:hint="eastAsia"/>
          <w:color w:val="000000"/>
          <w:sz w:val="32"/>
        </w:rPr>
        <w:t>20</w:t>
      </w:r>
      <w:r>
        <w:rPr>
          <w:rFonts w:ascii="仿宋" w:eastAsia="仿宋_GB2312" w:hAnsi="仿宋" w:hint="eastAsia"/>
          <w:color w:val="000000"/>
          <w:spacing w:val="20"/>
          <w:sz w:val="32"/>
        </w:rPr>
        <w:t>年</w:t>
      </w:r>
      <w:r w:rsidR="000E7AF3">
        <w:rPr>
          <w:rFonts w:ascii="仿宋" w:eastAsia="仿宋_GB2312" w:hAnsi="仿宋"/>
          <w:color w:val="000000"/>
          <w:spacing w:val="20"/>
          <w:sz w:val="32"/>
        </w:rPr>
        <w:t>9</w:t>
      </w:r>
      <w:r>
        <w:rPr>
          <w:rFonts w:ascii="仿宋" w:eastAsia="仿宋_GB2312" w:hAnsi="仿宋" w:hint="eastAsia"/>
          <w:color w:val="000000"/>
          <w:spacing w:val="20"/>
          <w:sz w:val="32"/>
        </w:rPr>
        <w:t>月</w:t>
      </w:r>
      <w:r w:rsidR="000E7AF3">
        <w:rPr>
          <w:rFonts w:ascii="仿宋" w:eastAsia="仿宋_GB2312" w:hAnsi="仿宋"/>
          <w:color w:val="000000"/>
          <w:spacing w:val="20"/>
          <w:sz w:val="32"/>
        </w:rPr>
        <w:t>2</w:t>
      </w:r>
      <w:r>
        <w:rPr>
          <w:rFonts w:ascii="仿宋" w:eastAsia="仿宋_GB2312" w:hAnsi="仿宋" w:hint="eastAsia"/>
          <w:color w:val="000000"/>
          <w:spacing w:val="20"/>
          <w:sz w:val="32"/>
        </w:rPr>
        <w:t>日</w:t>
      </w:r>
    </w:p>
    <w:p w:rsidR="007166A6" w:rsidRDefault="007166A6">
      <w:pPr>
        <w:adjustRightInd w:val="0"/>
        <w:snapToGrid w:val="0"/>
        <w:spacing w:line="560" w:lineRule="atLeast"/>
        <w:ind w:firstLine="640"/>
        <w:rPr>
          <w:rFonts w:ascii="仿宋" w:eastAsia="仿宋_GB2312" w:hAnsi="仿宋"/>
          <w:sz w:val="32"/>
        </w:rPr>
      </w:pPr>
    </w:p>
    <w:p w:rsidR="007166A6" w:rsidRDefault="000F070A">
      <w:pPr>
        <w:adjustRightInd w:val="0"/>
        <w:snapToGrid w:val="0"/>
        <w:spacing w:line="560" w:lineRule="atLeast"/>
        <w:ind w:firstLine="640"/>
        <w:rPr>
          <w:szCs w:val="21"/>
        </w:rPr>
      </w:pPr>
      <w:bookmarkStart w:id="0" w:name="_GoBack"/>
      <w:bookmarkEnd w:id="0"/>
      <w:r>
        <w:rPr>
          <w:noProof/>
          <w:szCs w:val="21"/>
        </w:rPr>
        <mc:AlternateContent>
          <mc:Choice Requires="wps">
            <w:drawing>
              <wp:anchor distT="45720" distB="45720" distL="114300" distR="114300" simplePos="0" relativeHeight="251856896" behindDoc="0" locked="0" layoutInCell="1" allowOverlap="1">
                <wp:simplePos x="0" y="0"/>
                <wp:positionH relativeFrom="column">
                  <wp:align>center</wp:align>
                </wp:positionH>
                <wp:positionV relativeFrom="page">
                  <wp:posOffset>9001125</wp:posOffset>
                </wp:positionV>
                <wp:extent cx="6127115" cy="54737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200" cy="547370"/>
                        </a:xfrm>
                        <a:prstGeom prst="rect">
                          <a:avLst/>
                        </a:prstGeom>
                        <a:noFill/>
                        <a:ln w="9525">
                          <a:noFill/>
                          <a:miter lim="800000"/>
                        </a:ln>
                      </wps:spPr>
                      <wps:txbx>
                        <w:txbxContent>
                          <w:p w:rsidR="007166A6" w:rsidRDefault="000F070A">
                            <w:pPr>
                              <w:pBdr>
                                <w:top w:val="single" w:sz="4" w:space="1" w:color="auto"/>
                                <w:bottom w:val="single" w:sz="4" w:space="1" w:color="auto"/>
                                <w:between w:val="single" w:sz="6" w:space="1" w:color="auto"/>
                              </w:pBdr>
                              <w:jc w:val="center"/>
                            </w:pPr>
                            <w:r>
                              <w:rPr>
                                <w:rFonts w:ascii="仿宋" w:eastAsia="仿宋_GB2312" w:hAnsi="仿宋" w:hint="eastAsia"/>
                                <w:sz w:val="28"/>
                                <w:szCs w:val="28"/>
                              </w:rPr>
                              <w:t>中山大学中国</w:t>
                            </w:r>
                            <w:r>
                              <w:rPr>
                                <w:rFonts w:ascii="仿宋" w:eastAsia="仿宋_GB2312" w:hAnsi="仿宋"/>
                                <w:sz w:val="28"/>
                                <w:szCs w:val="28"/>
                              </w:rPr>
                              <w:t>语言文学系</w:t>
                            </w:r>
                            <w:r>
                              <w:rPr>
                                <w:rFonts w:ascii="仿宋" w:eastAsia="仿宋_GB2312" w:hAnsi="仿宋" w:hint="eastAsia"/>
                                <w:sz w:val="28"/>
                                <w:szCs w:val="28"/>
                              </w:rPr>
                              <w:t>系</w:t>
                            </w:r>
                            <w:r>
                              <w:rPr>
                                <w:rFonts w:ascii="仿宋" w:eastAsia="仿宋_GB2312" w:hAnsi="仿宋"/>
                                <w:sz w:val="28"/>
                                <w:szCs w:val="28"/>
                              </w:rPr>
                              <w:t xml:space="preserve">　　　　　　　</w:t>
                            </w:r>
                            <w:r>
                              <w:rPr>
                                <w:rFonts w:ascii="仿宋" w:eastAsia="仿宋_GB2312" w:hAnsi="仿宋" w:hint="eastAsia"/>
                                <w:sz w:val="28"/>
                                <w:szCs w:val="28"/>
                              </w:rPr>
                              <w:t>2020</w:t>
                            </w:r>
                            <w:r>
                              <w:rPr>
                                <w:rFonts w:ascii="仿宋" w:eastAsia="仿宋_GB2312" w:hAnsi="仿宋" w:hint="eastAsia"/>
                                <w:sz w:val="28"/>
                                <w:szCs w:val="28"/>
                              </w:rPr>
                              <w:t>年</w:t>
                            </w:r>
                            <w:r w:rsidR="000E7AF3">
                              <w:rPr>
                                <w:rFonts w:ascii="仿宋" w:eastAsia="仿宋_GB2312" w:hAnsi="仿宋"/>
                                <w:sz w:val="28"/>
                                <w:szCs w:val="28"/>
                              </w:rPr>
                              <w:t>9</w:t>
                            </w:r>
                            <w:r>
                              <w:rPr>
                                <w:rFonts w:ascii="仿宋" w:eastAsia="仿宋_GB2312" w:hAnsi="仿宋" w:hint="eastAsia"/>
                                <w:sz w:val="28"/>
                                <w:szCs w:val="28"/>
                              </w:rPr>
                              <w:t>月</w:t>
                            </w:r>
                            <w:r w:rsidR="000E7AF3">
                              <w:rPr>
                                <w:rFonts w:ascii="仿宋" w:eastAsia="仿宋_GB2312" w:hAnsi="仿宋"/>
                                <w:sz w:val="28"/>
                                <w:szCs w:val="28"/>
                              </w:rPr>
                              <w:t>2</w:t>
                            </w:r>
                            <w:r>
                              <w:rPr>
                                <w:rFonts w:ascii="仿宋" w:eastAsia="仿宋_GB2312" w:hAnsi="仿宋" w:hint="eastAsia"/>
                                <w:sz w:val="28"/>
                                <w:szCs w:val="28"/>
                              </w:rPr>
                              <w:t>日印发</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7" type="#_x0000_t202" style="position:absolute;left:0;text-align:left;margin-left:0;margin-top:708.75pt;width:482.45pt;height:43.1pt;z-index:251856896;visibility:visible;mso-wrap-style:square;mso-width-percent:0;mso-height-percent:200;mso-wrap-distance-left:9pt;mso-wrap-distance-top:3.6pt;mso-wrap-distance-right:9pt;mso-wrap-distance-bottom:3.6pt;mso-position-horizontal:center;mso-position-horizontal-relative:text;mso-position-vertical:absolute;mso-position-vertical-relative:page;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" filled="f" stroked="f">
                <v:textbox style="mso-fit-shape-to-text:t">
                  <w:txbxContent>
                    <w:p w:rsidR="007166A6" w:rsidRDefault="000F070A">
                      <w:pPr>
                        <w:pBdr>
                          <w:top w:val="single" w:sz="4" w:space="1" w:color="auto"/>
                          <w:bottom w:val="single" w:sz="4" w:space="1" w:color="auto"/>
                          <w:between w:val="single" w:sz="6" w:space="1" w:color="auto"/>
                        </w:pBdr>
                        <w:jc w:val="center"/>
                      </w:pPr>
                      <w:r>
                        <w:rPr>
                          <w:rFonts w:ascii="仿宋" w:eastAsia="仿宋_GB2312" w:hAnsi="仿宋" w:hint="eastAsia"/>
                          <w:sz w:val="28"/>
                          <w:szCs w:val="28"/>
                        </w:rPr>
                        <w:t>中山大学中国</w:t>
                      </w:r>
                      <w:r>
                        <w:rPr>
                          <w:rFonts w:ascii="仿宋" w:eastAsia="仿宋_GB2312" w:hAnsi="仿宋"/>
                          <w:sz w:val="28"/>
                          <w:szCs w:val="28"/>
                        </w:rPr>
                        <w:t>语言文学系</w:t>
                      </w:r>
                      <w:r>
                        <w:rPr>
                          <w:rFonts w:ascii="仿宋" w:eastAsia="仿宋_GB2312" w:hAnsi="仿宋" w:hint="eastAsia"/>
                          <w:sz w:val="28"/>
                          <w:szCs w:val="28"/>
                        </w:rPr>
                        <w:t>系</w:t>
                      </w:r>
                      <w:r>
                        <w:rPr>
                          <w:rFonts w:ascii="仿宋" w:eastAsia="仿宋_GB2312" w:hAnsi="仿宋"/>
                          <w:sz w:val="28"/>
                          <w:szCs w:val="28"/>
                        </w:rPr>
                        <w:t xml:space="preserve">　　　　　　　</w:t>
                      </w:r>
                      <w:r>
                        <w:rPr>
                          <w:rFonts w:ascii="仿宋" w:eastAsia="仿宋_GB2312" w:hAnsi="仿宋" w:hint="eastAsia"/>
                          <w:sz w:val="28"/>
                          <w:szCs w:val="28"/>
                        </w:rPr>
                        <w:t>2020</w:t>
                      </w:r>
                      <w:r>
                        <w:rPr>
                          <w:rFonts w:ascii="仿宋" w:eastAsia="仿宋_GB2312" w:hAnsi="仿宋" w:hint="eastAsia"/>
                          <w:sz w:val="28"/>
                          <w:szCs w:val="28"/>
                        </w:rPr>
                        <w:t>年</w:t>
                      </w:r>
                      <w:r w:rsidR="000E7AF3">
                        <w:rPr>
                          <w:rFonts w:ascii="仿宋" w:eastAsia="仿宋_GB2312" w:hAnsi="仿宋"/>
                          <w:sz w:val="28"/>
                          <w:szCs w:val="28"/>
                        </w:rPr>
                        <w:t>9</w:t>
                      </w:r>
                      <w:r>
                        <w:rPr>
                          <w:rFonts w:ascii="仿宋" w:eastAsia="仿宋_GB2312" w:hAnsi="仿宋" w:hint="eastAsia"/>
                          <w:sz w:val="28"/>
                          <w:szCs w:val="28"/>
                        </w:rPr>
                        <w:t>月</w:t>
                      </w:r>
                      <w:r w:rsidR="000E7AF3">
                        <w:rPr>
                          <w:rFonts w:ascii="仿宋" w:eastAsia="仿宋_GB2312" w:hAnsi="仿宋"/>
                          <w:sz w:val="28"/>
                          <w:szCs w:val="28"/>
                        </w:rPr>
                        <w:t>2</w:t>
                      </w:r>
                      <w:r>
                        <w:rPr>
                          <w:rFonts w:ascii="仿宋" w:eastAsia="仿宋_GB2312" w:hAnsi="仿宋" w:hint="eastAsia"/>
                          <w:sz w:val="28"/>
                          <w:szCs w:val="28"/>
                        </w:rPr>
                        <w:t>日印发</w:t>
                      </w:r>
                    </w:p>
                  </w:txbxContent>
                </v:textbox>
                <w10:wrap anchory="page"/>
              </v:shape>
            </w:pict>
          </mc:Fallback>
        </mc:AlternateContent>
      </w:r>
    </w:p>
    <w:sectPr w:rsidR="007166A6">
      <w:footerReference w:type="even" r:id="rId9"/>
      <w:footerReference w:type="default" r:id="rId10"/>
      <w:footnotePr>
        <w:numFmt w:val="decimalEnclosedCircleChinese"/>
        <w:numRestart w:val="eachPage"/>
      </w:footnotePr>
      <w:pgSz w:w="11906" w:h="16838"/>
      <w:pgMar w:top="2098" w:right="1588" w:bottom="1843" w:left="1588" w:header="851" w:footer="1256" w:gutter="0"/>
      <w:pgNumType w:start="1"/>
      <w:cols w:sep="1"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34" w:rsidRDefault="008D1634">
      <w:r>
        <w:separator/>
      </w:r>
    </w:p>
  </w:endnote>
  <w:endnote w:type="continuationSeparator" w:id="0">
    <w:p w:rsidR="008D1634" w:rsidRDefault="008D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_GB2312" w:eastAsia="仿宋_GB2312" w:hAnsiTheme="minorEastAsia" w:hint="eastAsia"/>
        <w:sz w:val="32"/>
        <w:szCs w:val="32"/>
      </w:rPr>
      <w:id w:val="1065993746"/>
    </w:sdtPr>
    <w:sdtEndPr/>
    <w:sdtContent>
      <w:p w:rsidR="007166A6" w:rsidRDefault="000F070A">
        <w:pPr>
          <w:pStyle w:val="ad"/>
          <w:rPr>
            <w:rFonts w:ascii="仿宋_GB2312" w:eastAsia="仿宋_GB2312" w:hAnsiTheme="minorEastAsia"/>
            <w:bCs/>
            <w:sz w:val="32"/>
            <w:szCs w:val="32"/>
          </w:rPr>
        </w:pPr>
        <w:r>
          <w:rPr>
            <w:rFonts w:ascii="仿宋_GB2312" w:eastAsia="仿宋_GB2312" w:hAnsiTheme="minorEastAsia" w:hint="eastAsia"/>
            <w:sz w:val="32"/>
            <w:szCs w:val="32"/>
          </w:rPr>
          <w:t>—</w:t>
        </w:r>
        <w:r>
          <w:rPr>
            <w:rFonts w:ascii="仿宋_GB2312" w:eastAsia="仿宋_GB2312" w:hAnsiTheme="minorEastAsia" w:hint="eastAsia"/>
            <w:sz w:val="32"/>
            <w:szCs w:val="32"/>
          </w:rPr>
          <w:fldChar w:fldCharType="begin"/>
        </w:r>
        <w:r>
          <w:rPr>
            <w:rFonts w:ascii="仿宋_GB2312" w:eastAsia="仿宋_GB2312" w:hAnsiTheme="minorEastAsia" w:hint="eastAsia"/>
            <w:sz w:val="32"/>
            <w:szCs w:val="32"/>
          </w:rPr>
          <w:instrText>PAGE   \* MERGEFORMAT</w:instrText>
        </w:r>
        <w:r>
          <w:rPr>
            <w:rFonts w:ascii="仿宋_GB2312" w:eastAsia="仿宋_GB2312" w:hAnsiTheme="minorEastAsia" w:hint="eastAsia"/>
            <w:sz w:val="32"/>
            <w:szCs w:val="32"/>
          </w:rPr>
          <w:fldChar w:fldCharType="separate"/>
        </w:r>
        <w:r w:rsidR="000E7AF3" w:rsidRPr="000E7AF3">
          <w:rPr>
            <w:rFonts w:ascii="仿宋_GB2312" w:eastAsia="仿宋_GB2312" w:hAnsiTheme="minorEastAsia"/>
            <w:noProof/>
            <w:sz w:val="32"/>
            <w:szCs w:val="32"/>
            <w:lang w:val="zh-CN"/>
          </w:rPr>
          <w:t>20</w:t>
        </w:r>
        <w:r>
          <w:rPr>
            <w:rFonts w:ascii="仿宋_GB2312" w:eastAsia="仿宋_GB2312" w:hAnsiTheme="minorEastAsia" w:hint="eastAsia"/>
            <w:sz w:val="32"/>
            <w:szCs w:val="32"/>
          </w:rPr>
          <w:fldChar w:fldCharType="end"/>
        </w:r>
        <w:r>
          <w:rPr>
            <w:rFonts w:ascii="仿宋_GB2312" w:eastAsia="仿宋_GB2312" w:hAnsiTheme="minorEastAsia" w:hint="eastAsia"/>
            <w:sz w:val="32"/>
            <w:szCs w:val="32"/>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_GB2312" w:eastAsia="仿宋_GB2312" w:hAnsiTheme="minorEastAsia" w:hint="eastAsia"/>
        <w:sz w:val="32"/>
        <w:szCs w:val="32"/>
      </w:rPr>
      <w:id w:val="-1282648304"/>
    </w:sdtPr>
    <w:sdtEndPr/>
    <w:sdtContent>
      <w:p w:rsidR="007166A6" w:rsidRDefault="000F070A">
        <w:pPr>
          <w:pStyle w:val="ad"/>
          <w:jc w:val="right"/>
          <w:rPr>
            <w:rFonts w:ascii="仿宋_GB2312" w:eastAsia="仿宋_GB2312" w:hAnsiTheme="minorEastAsia"/>
            <w:bCs/>
            <w:sz w:val="32"/>
            <w:szCs w:val="32"/>
          </w:rPr>
        </w:pPr>
        <w:r>
          <w:rPr>
            <w:rFonts w:ascii="仿宋_GB2312" w:eastAsia="仿宋_GB2312" w:hAnsiTheme="minorEastAsia" w:hint="eastAsia"/>
            <w:sz w:val="32"/>
            <w:szCs w:val="32"/>
          </w:rPr>
          <w:t>—</w:t>
        </w:r>
        <w:r>
          <w:rPr>
            <w:rFonts w:ascii="仿宋_GB2312" w:eastAsia="仿宋_GB2312" w:hAnsiTheme="minorEastAsia" w:hint="eastAsia"/>
            <w:sz w:val="32"/>
            <w:szCs w:val="32"/>
          </w:rPr>
          <w:fldChar w:fldCharType="begin"/>
        </w:r>
        <w:r>
          <w:rPr>
            <w:rFonts w:ascii="仿宋_GB2312" w:eastAsia="仿宋_GB2312" w:hAnsiTheme="minorEastAsia" w:hint="eastAsia"/>
            <w:sz w:val="32"/>
            <w:szCs w:val="32"/>
          </w:rPr>
          <w:instrText>PAGE   \* MERGEFORMAT</w:instrText>
        </w:r>
        <w:r>
          <w:rPr>
            <w:rFonts w:ascii="仿宋_GB2312" w:eastAsia="仿宋_GB2312" w:hAnsiTheme="minorEastAsia" w:hint="eastAsia"/>
            <w:sz w:val="32"/>
            <w:szCs w:val="32"/>
          </w:rPr>
          <w:fldChar w:fldCharType="separate"/>
        </w:r>
        <w:r w:rsidR="000E7AF3" w:rsidRPr="000E7AF3">
          <w:rPr>
            <w:rFonts w:ascii="仿宋_GB2312" w:eastAsia="仿宋_GB2312" w:hAnsiTheme="minorEastAsia"/>
            <w:noProof/>
            <w:sz w:val="32"/>
            <w:szCs w:val="32"/>
            <w:lang w:val="zh-CN"/>
          </w:rPr>
          <w:t>19</w:t>
        </w:r>
        <w:r>
          <w:rPr>
            <w:rFonts w:ascii="仿宋_GB2312" w:eastAsia="仿宋_GB2312" w:hAnsiTheme="minorEastAsia" w:hint="eastAsia"/>
            <w:sz w:val="32"/>
            <w:szCs w:val="32"/>
          </w:rPr>
          <w:fldChar w:fldCharType="end"/>
        </w:r>
        <w:r>
          <w:rPr>
            <w:rFonts w:ascii="仿宋_GB2312" w:eastAsia="仿宋_GB2312" w:hAnsiTheme="minorEastAsia" w:hint="eastAsia"/>
            <w:sz w:val="32"/>
            <w:szCs w:val="32"/>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34" w:rsidRDefault="008D1634">
      <w:r>
        <w:separator/>
      </w:r>
    </w:p>
  </w:footnote>
  <w:footnote w:type="continuationSeparator" w:id="0">
    <w:p w:rsidR="008D1634" w:rsidRDefault="008D16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D3CA5"/>
    <w:multiLevelType w:val="singleLevel"/>
    <w:tmpl w:val="58AD3CA5"/>
    <w:lvl w:ilvl="0">
      <w:start w:val="1"/>
      <w:numFmt w:val="chineseCounting"/>
      <w:suff w:val="space"/>
      <w:lvlText w:val="第%1章"/>
      <w:lvlJc w:val="left"/>
    </w:lvl>
  </w:abstractNum>
  <w:abstractNum w:abstractNumId="1" w15:restartNumberingAfterBreak="0">
    <w:nsid w:val="58AD3D7F"/>
    <w:multiLevelType w:val="singleLevel"/>
    <w:tmpl w:val="58AD3D7F"/>
    <w:lvl w:ilvl="0">
      <w:start w:val="1"/>
      <w:numFmt w:val="chineseCounting"/>
      <w:suff w:val="nothing"/>
      <w:lvlText w:val="%1、"/>
      <w:lvlJc w:val="left"/>
    </w:lvl>
  </w:abstractNum>
  <w:abstractNum w:abstractNumId="2" w15:restartNumberingAfterBreak="0">
    <w:nsid w:val="58AD46F6"/>
    <w:multiLevelType w:val="singleLevel"/>
    <w:tmpl w:val="58AD46F6"/>
    <w:lvl w:ilvl="0">
      <w:start w:val="1"/>
      <w:numFmt w:val="upperLetter"/>
      <w:suff w:val="nothing"/>
      <w:lvlText w:val="%1、"/>
      <w:lvlJc w:val="left"/>
    </w:lvl>
  </w:abstractNum>
  <w:abstractNum w:abstractNumId="3" w15:restartNumberingAfterBreak="0">
    <w:nsid w:val="58AD48BA"/>
    <w:multiLevelType w:val="singleLevel"/>
    <w:tmpl w:val="58AD48BA"/>
    <w:lvl w:ilvl="0">
      <w:start w:val="1"/>
      <w:numFmt w:val="upperLetter"/>
      <w:suff w:val="nothing"/>
      <w:lvlText w:val="%1、"/>
      <w:lvlJc w:val="left"/>
    </w:lvl>
  </w:abstractNum>
  <w:abstractNum w:abstractNumId="4" w15:restartNumberingAfterBreak="0">
    <w:nsid w:val="58AD532B"/>
    <w:multiLevelType w:val="singleLevel"/>
    <w:tmpl w:val="58AD532B"/>
    <w:lvl w:ilvl="0">
      <w:start w:val="1"/>
      <w:numFmt w:val="upperLetter"/>
      <w:suff w:val="nothing"/>
      <w:lvlText w:val="%1、"/>
      <w:lvlJc w:val="left"/>
    </w:lvl>
  </w:abstractNum>
  <w:abstractNum w:abstractNumId="5" w15:restartNumberingAfterBreak="0">
    <w:nsid w:val="58AD569F"/>
    <w:multiLevelType w:val="singleLevel"/>
    <w:tmpl w:val="58AD569F"/>
    <w:lvl w:ilvl="0">
      <w:start w:val="1"/>
      <w:numFmt w:val="upperLetter"/>
      <w:suff w:val="nothing"/>
      <w:lvlText w:val="%1、"/>
      <w:lvlJc w:val="left"/>
    </w:lvl>
  </w:abstractNum>
  <w:abstractNum w:abstractNumId="6" w15:restartNumberingAfterBreak="0">
    <w:nsid w:val="58AE3CDC"/>
    <w:multiLevelType w:val="singleLevel"/>
    <w:tmpl w:val="58AE3CDC"/>
    <w:lvl w:ilvl="0">
      <w:start w:val="1"/>
      <w:numFmt w:val="upperLetter"/>
      <w:suff w:val="nothing"/>
      <w:lvlText w:val="%1、"/>
      <w:lvlJc w:val="left"/>
    </w:lvl>
  </w:abstractNum>
  <w:abstractNum w:abstractNumId="7" w15:restartNumberingAfterBreak="0">
    <w:nsid w:val="58AE3D85"/>
    <w:multiLevelType w:val="singleLevel"/>
    <w:tmpl w:val="58AE3D85"/>
    <w:lvl w:ilvl="0">
      <w:start w:val="1"/>
      <w:numFmt w:val="upperLetter"/>
      <w:suff w:val="nothing"/>
      <w:lvlText w:val="%1、"/>
      <w:lvlJc w:val="left"/>
    </w:lvl>
  </w:abstractNum>
  <w:abstractNum w:abstractNumId="8" w15:restartNumberingAfterBreak="0">
    <w:nsid w:val="58AE3DD1"/>
    <w:multiLevelType w:val="singleLevel"/>
    <w:tmpl w:val="58AE3DD1"/>
    <w:lvl w:ilvl="0">
      <w:start w:val="1"/>
      <w:numFmt w:val="upperLetter"/>
      <w:suff w:val="nothing"/>
      <w:lvlText w:val="%1、"/>
      <w:lvlJc w:val="left"/>
    </w:lvl>
  </w:abstractNum>
  <w:abstractNum w:abstractNumId="9" w15:restartNumberingAfterBreak="0">
    <w:nsid w:val="58AE3E15"/>
    <w:multiLevelType w:val="singleLevel"/>
    <w:tmpl w:val="58AE3E15"/>
    <w:lvl w:ilvl="0">
      <w:start w:val="1"/>
      <w:numFmt w:val="decimal"/>
      <w:suff w:val="nothing"/>
      <w:lvlText w:val="（%1）"/>
      <w:lvlJc w:val="left"/>
    </w:lvl>
  </w:abstractNum>
  <w:abstractNum w:abstractNumId="10" w15:restartNumberingAfterBreak="0">
    <w:nsid w:val="58AE3EF9"/>
    <w:multiLevelType w:val="singleLevel"/>
    <w:tmpl w:val="58AE3EF9"/>
    <w:lvl w:ilvl="0">
      <w:start w:val="1"/>
      <w:numFmt w:val="upperLetter"/>
      <w:suff w:val="nothing"/>
      <w:lvlText w:val="%1、"/>
      <w:lvlJc w:val="left"/>
    </w:lvl>
  </w:abstractNum>
  <w:abstractNum w:abstractNumId="11" w15:restartNumberingAfterBreak="0">
    <w:nsid w:val="58AE4141"/>
    <w:multiLevelType w:val="singleLevel"/>
    <w:tmpl w:val="58AE4141"/>
    <w:lvl w:ilvl="0">
      <w:start w:val="1"/>
      <w:numFmt w:val="chineseCounting"/>
      <w:suff w:val="nothing"/>
      <w:lvlText w:val="%1、"/>
      <w:lvlJc w:val="left"/>
    </w:lvl>
  </w:abstractNum>
  <w:abstractNum w:abstractNumId="12" w15:restartNumberingAfterBreak="0">
    <w:nsid w:val="58AE4DA1"/>
    <w:multiLevelType w:val="singleLevel"/>
    <w:tmpl w:val="58AE4DA1"/>
    <w:lvl w:ilvl="0">
      <w:start w:val="1"/>
      <w:numFmt w:val="decimal"/>
      <w:suff w:val="nothing"/>
      <w:lvlText w:val="（%1）"/>
      <w:lvlJc w:val="left"/>
    </w:lvl>
  </w:abstractNum>
  <w:abstractNum w:abstractNumId="13" w15:restartNumberingAfterBreak="0">
    <w:nsid w:val="58AEA695"/>
    <w:multiLevelType w:val="singleLevel"/>
    <w:tmpl w:val="58AEA695"/>
    <w:lvl w:ilvl="0">
      <w:start w:val="1"/>
      <w:numFmt w:val="decimal"/>
      <w:suff w:val="nothing"/>
      <w:lvlText w:val="（%1）"/>
      <w:lvlJc w:val="left"/>
    </w:lvl>
  </w:abstractNum>
  <w:abstractNum w:abstractNumId="14" w15:restartNumberingAfterBreak="0">
    <w:nsid w:val="58AF9CCE"/>
    <w:multiLevelType w:val="singleLevel"/>
    <w:tmpl w:val="58AF9CCE"/>
    <w:lvl w:ilvl="0">
      <w:start w:val="1"/>
      <w:numFmt w:val="upperLetter"/>
      <w:suff w:val="nothing"/>
      <w:lvlText w:val="%1、"/>
      <w:lvlJc w:val="left"/>
    </w:lvl>
  </w:abstractNum>
  <w:num w:numId="1">
    <w:abstractNumId w:val="0"/>
  </w:num>
  <w:num w:numId="2">
    <w:abstractNumId w:val="11"/>
  </w:num>
  <w:num w:numId="3">
    <w:abstractNumId w:val="1"/>
  </w:num>
  <w:num w:numId="4">
    <w:abstractNumId w:val="2"/>
  </w:num>
  <w:num w:numId="5">
    <w:abstractNumId w:val="5"/>
  </w:num>
  <w:num w:numId="6">
    <w:abstractNumId w:val="4"/>
  </w:num>
  <w:num w:numId="7">
    <w:abstractNumId w:val="3"/>
  </w:num>
  <w:num w:numId="8">
    <w:abstractNumId w:val="12"/>
  </w:num>
  <w:num w:numId="9">
    <w:abstractNumId w:val="14"/>
  </w:num>
  <w:num w:numId="10">
    <w:abstractNumId w:val="9"/>
  </w:num>
  <w:num w:numId="11">
    <w:abstractNumId w:val="6"/>
  </w:num>
  <w:num w:numId="12">
    <w:abstractNumId w:val="7"/>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AE"/>
    <w:rsid w:val="0002787A"/>
    <w:rsid w:val="00080E65"/>
    <w:rsid w:val="00087671"/>
    <w:rsid w:val="0009611F"/>
    <w:rsid w:val="000B153F"/>
    <w:rsid w:val="000B556B"/>
    <w:rsid w:val="000D639D"/>
    <w:rsid w:val="000E7AF3"/>
    <w:rsid w:val="000F070A"/>
    <w:rsid w:val="00111415"/>
    <w:rsid w:val="00111CAA"/>
    <w:rsid w:val="001447E5"/>
    <w:rsid w:val="00147956"/>
    <w:rsid w:val="001529B9"/>
    <w:rsid w:val="00154DE5"/>
    <w:rsid w:val="001969D2"/>
    <w:rsid w:val="001A5C49"/>
    <w:rsid w:val="001E3F87"/>
    <w:rsid w:val="001F7129"/>
    <w:rsid w:val="00207D18"/>
    <w:rsid w:val="00214B7A"/>
    <w:rsid w:val="00215029"/>
    <w:rsid w:val="002217F2"/>
    <w:rsid w:val="00247C60"/>
    <w:rsid w:val="00283284"/>
    <w:rsid w:val="00286050"/>
    <w:rsid w:val="002A4150"/>
    <w:rsid w:val="00302522"/>
    <w:rsid w:val="00340200"/>
    <w:rsid w:val="003462B9"/>
    <w:rsid w:val="00377FB4"/>
    <w:rsid w:val="0038729F"/>
    <w:rsid w:val="00392848"/>
    <w:rsid w:val="00396362"/>
    <w:rsid w:val="00397AE2"/>
    <w:rsid w:val="003B13C5"/>
    <w:rsid w:val="003B61C6"/>
    <w:rsid w:val="003C69BB"/>
    <w:rsid w:val="003E0DAC"/>
    <w:rsid w:val="003F2BAE"/>
    <w:rsid w:val="00441354"/>
    <w:rsid w:val="004433FA"/>
    <w:rsid w:val="00454E23"/>
    <w:rsid w:val="00481F24"/>
    <w:rsid w:val="004A75BA"/>
    <w:rsid w:val="004D2E7D"/>
    <w:rsid w:val="005042C9"/>
    <w:rsid w:val="00521333"/>
    <w:rsid w:val="00536323"/>
    <w:rsid w:val="005539C6"/>
    <w:rsid w:val="005C0317"/>
    <w:rsid w:val="005C6E1B"/>
    <w:rsid w:val="00646FEA"/>
    <w:rsid w:val="006540EB"/>
    <w:rsid w:val="00681AF9"/>
    <w:rsid w:val="0068434C"/>
    <w:rsid w:val="006922C8"/>
    <w:rsid w:val="006F053C"/>
    <w:rsid w:val="00707E6B"/>
    <w:rsid w:val="00710FFA"/>
    <w:rsid w:val="007166A6"/>
    <w:rsid w:val="00723669"/>
    <w:rsid w:val="007675E3"/>
    <w:rsid w:val="00781C1B"/>
    <w:rsid w:val="007A65CC"/>
    <w:rsid w:val="007E5B8A"/>
    <w:rsid w:val="007E6A9C"/>
    <w:rsid w:val="007F4472"/>
    <w:rsid w:val="008117D0"/>
    <w:rsid w:val="00845F2D"/>
    <w:rsid w:val="008813D8"/>
    <w:rsid w:val="00881D7D"/>
    <w:rsid w:val="008A5D0F"/>
    <w:rsid w:val="008D1634"/>
    <w:rsid w:val="008D26D9"/>
    <w:rsid w:val="009215FA"/>
    <w:rsid w:val="00923AED"/>
    <w:rsid w:val="009620D1"/>
    <w:rsid w:val="00981CC2"/>
    <w:rsid w:val="00992C93"/>
    <w:rsid w:val="00995D82"/>
    <w:rsid w:val="009B1C8F"/>
    <w:rsid w:val="009F4DF6"/>
    <w:rsid w:val="00A30B38"/>
    <w:rsid w:val="00A51C95"/>
    <w:rsid w:val="00A73286"/>
    <w:rsid w:val="00AA60C4"/>
    <w:rsid w:val="00AC4E40"/>
    <w:rsid w:val="00AE374E"/>
    <w:rsid w:val="00B01B4A"/>
    <w:rsid w:val="00B224C2"/>
    <w:rsid w:val="00B44A01"/>
    <w:rsid w:val="00B854D4"/>
    <w:rsid w:val="00BC1340"/>
    <w:rsid w:val="00BE15DA"/>
    <w:rsid w:val="00BF16A1"/>
    <w:rsid w:val="00C029E3"/>
    <w:rsid w:val="00C75FE7"/>
    <w:rsid w:val="00C92CB5"/>
    <w:rsid w:val="00CB7062"/>
    <w:rsid w:val="00CC4D71"/>
    <w:rsid w:val="00D11626"/>
    <w:rsid w:val="00D61AE5"/>
    <w:rsid w:val="00D8018B"/>
    <w:rsid w:val="00DF098B"/>
    <w:rsid w:val="00E07DD0"/>
    <w:rsid w:val="00E44F6A"/>
    <w:rsid w:val="00E71A86"/>
    <w:rsid w:val="00EA09FB"/>
    <w:rsid w:val="00EA1AFD"/>
    <w:rsid w:val="00EB0867"/>
    <w:rsid w:val="00EC1D74"/>
    <w:rsid w:val="00EC5DE8"/>
    <w:rsid w:val="00F2225B"/>
    <w:rsid w:val="00F2764C"/>
    <w:rsid w:val="00F5620D"/>
    <w:rsid w:val="00F63E38"/>
    <w:rsid w:val="00F729F2"/>
    <w:rsid w:val="00F904CE"/>
    <w:rsid w:val="00FF5359"/>
    <w:rsid w:val="0277450E"/>
    <w:rsid w:val="09FD6AF0"/>
    <w:rsid w:val="14E352D9"/>
    <w:rsid w:val="14F55E9B"/>
    <w:rsid w:val="161D6BD6"/>
    <w:rsid w:val="17CD2CF7"/>
    <w:rsid w:val="1E5C7928"/>
    <w:rsid w:val="1F7C79DE"/>
    <w:rsid w:val="20B910B5"/>
    <w:rsid w:val="20CA7097"/>
    <w:rsid w:val="25A33844"/>
    <w:rsid w:val="26B4560A"/>
    <w:rsid w:val="27BD7BD4"/>
    <w:rsid w:val="27E969A9"/>
    <w:rsid w:val="29A11E58"/>
    <w:rsid w:val="31316F4A"/>
    <w:rsid w:val="31C86806"/>
    <w:rsid w:val="41643C3C"/>
    <w:rsid w:val="43E265E5"/>
    <w:rsid w:val="45F2392D"/>
    <w:rsid w:val="46C45E91"/>
    <w:rsid w:val="4FA431C3"/>
    <w:rsid w:val="5B426CDC"/>
    <w:rsid w:val="60593C1B"/>
    <w:rsid w:val="641D3225"/>
    <w:rsid w:val="6492442F"/>
    <w:rsid w:val="683B7C05"/>
    <w:rsid w:val="685C659E"/>
    <w:rsid w:val="68FC67E2"/>
    <w:rsid w:val="75780363"/>
    <w:rsid w:val="775C3BFB"/>
    <w:rsid w:val="783C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B5037D"/>
  <w15:docId w15:val="{D0451476-BA93-4F32-AF0E-ECFA47B8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a5">
    <w:name w:val="Body Text"/>
    <w:basedOn w:val="a"/>
    <w:link w:val="a6"/>
    <w:unhideWhenUsed/>
    <w:qFormat/>
    <w:pPr>
      <w:spacing w:after="120"/>
    </w:pPr>
  </w:style>
  <w:style w:type="paragraph" w:styleId="a7">
    <w:name w:val="Body Text Indent"/>
    <w:basedOn w:val="a"/>
    <w:link w:val="a8"/>
    <w:qFormat/>
    <w:pPr>
      <w:adjustRightInd w:val="0"/>
      <w:snapToGrid w:val="0"/>
      <w:spacing w:line="460" w:lineRule="atLeast"/>
      <w:ind w:firstLineChars="192" w:firstLine="461"/>
    </w:pPr>
    <w:rPr>
      <w:sz w:val="24"/>
    </w:rPr>
  </w:style>
  <w:style w:type="paragraph" w:styleId="a9">
    <w:name w:val="Date"/>
    <w:basedOn w:val="a"/>
    <w:next w:val="a"/>
    <w:link w:val="aa"/>
    <w:qFormat/>
    <w:pPr>
      <w:ind w:leftChars="2500" w:left="100"/>
    </w:pPr>
    <w:rPr>
      <w:rFonts w:ascii="仿宋_GB2312" w:eastAsia="仿宋_GB2312"/>
      <w:sz w:val="32"/>
    </w:rPr>
  </w:style>
  <w:style w:type="paragraph" w:styleId="2">
    <w:name w:val="Body Text Indent 2"/>
    <w:basedOn w:val="a"/>
    <w:link w:val="20"/>
    <w:qFormat/>
    <w:pPr>
      <w:adjustRightInd w:val="0"/>
      <w:snapToGrid w:val="0"/>
      <w:spacing w:line="460" w:lineRule="atLeast"/>
      <w:ind w:left="461"/>
    </w:pPr>
    <w:rPr>
      <w:sz w:val="24"/>
    </w:rPr>
  </w:style>
  <w:style w:type="paragraph" w:styleId="ab">
    <w:name w:val="Balloon Text"/>
    <w:basedOn w:val="a"/>
    <w:link w:val="ac"/>
    <w:semiHidden/>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footnote text"/>
    <w:basedOn w:val="a"/>
    <w:link w:val="af2"/>
    <w:semiHidden/>
    <w:qFormat/>
    <w:pPr>
      <w:snapToGrid w:val="0"/>
      <w:jc w:val="left"/>
    </w:pPr>
    <w:rPr>
      <w:sz w:val="18"/>
      <w:szCs w:val="18"/>
    </w:rPr>
  </w:style>
  <w:style w:type="paragraph" w:styleId="3">
    <w:name w:val="Body Text Indent 3"/>
    <w:basedOn w:val="a"/>
    <w:link w:val="30"/>
    <w:qFormat/>
    <w:pPr>
      <w:adjustRightInd w:val="0"/>
      <w:snapToGrid w:val="0"/>
      <w:spacing w:line="560" w:lineRule="atLeast"/>
      <w:ind w:firstLineChars="192" w:firstLine="614"/>
    </w:pPr>
    <w:rPr>
      <w:rFonts w:eastAsia="仿宋_GB2312"/>
      <w:sz w:val="32"/>
    </w:rPr>
  </w:style>
  <w:style w:type="paragraph" w:styleId="af3">
    <w:name w:val="annotation subject"/>
    <w:basedOn w:val="a3"/>
    <w:next w:val="a3"/>
    <w:link w:val="af4"/>
    <w:semiHidden/>
    <w:qFormat/>
    <w:rPr>
      <w:b/>
      <w:bCs/>
    </w:rPr>
  </w:style>
  <w:style w:type="table" w:styleId="af5">
    <w:name w:val="Table Grid"/>
    <w:basedOn w:val="a1"/>
    <w:qFormat/>
    <w:pPr>
      <w:widowControl w:val="0"/>
      <w:jc w:val="both"/>
    </w:pPr>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0"/>
    <w:qFormat/>
  </w:style>
  <w:style w:type="character" w:styleId="af8">
    <w:name w:val="Hyperlink"/>
    <w:qFormat/>
    <w:rPr>
      <w:color w:val="0000FF"/>
      <w:u w:val="single"/>
    </w:rPr>
  </w:style>
  <w:style w:type="character" w:styleId="af9">
    <w:name w:val="annotation reference"/>
    <w:basedOn w:val="a0"/>
    <w:semiHidden/>
    <w:qFormat/>
    <w:rPr>
      <w:sz w:val="21"/>
      <w:szCs w:val="21"/>
    </w:rPr>
  </w:style>
  <w:style w:type="character" w:styleId="afa">
    <w:name w:val="footnote reference"/>
    <w:semiHidden/>
    <w:qFormat/>
    <w:rPr>
      <w:vertAlign w:val="superscript"/>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8">
    <w:name w:val="正文文本缩进 字符"/>
    <w:basedOn w:val="a0"/>
    <w:link w:val="a7"/>
    <w:qFormat/>
    <w:rPr>
      <w:rFonts w:eastAsia="宋体" w:cs="Times New Roman"/>
      <w:sz w:val="24"/>
      <w:szCs w:val="24"/>
    </w:rPr>
  </w:style>
  <w:style w:type="character" w:customStyle="1" w:styleId="a6">
    <w:name w:val="正文文本 字符"/>
    <w:basedOn w:val="a0"/>
    <w:link w:val="a5"/>
    <w:qFormat/>
    <w:rPr>
      <w:rFonts w:eastAsia="宋体" w:cs="Times New Roman"/>
      <w:szCs w:val="24"/>
    </w:rPr>
  </w:style>
  <w:style w:type="character" w:customStyle="1" w:styleId="text11">
    <w:name w:val="text11"/>
    <w:qFormat/>
    <w:rPr>
      <w:rFonts w:ascii="_GB2312" w:hAnsi="_GB2312" w:hint="default"/>
      <w:sz w:val="20"/>
      <w:szCs w:val="20"/>
    </w:rPr>
  </w:style>
  <w:style w:type="character" w:customStyle="1" w:styleId="20">
    <w:name w:val="正文文本缩进 2 字符"/>
    <w:basedOn w:val="a0"/>
    <w:link w:val="2"/>
    <w:qFormat/>
    <w:rPr>
      <w:rFonts w:eastAsia="宋体" w:cs="Times New Roman"/>
      <w:sz w:val="24"/>
      <w:szCs w:val="24"/>
    </w:rPr>
  </w:style>
  <w:style w:type="character" w:customStyle="1" w:styleId="30">
    <w:name w:val="正文文本缩进 3 字符"/>
    <w:basedOn w:val="a0"/>
    <w:link w:val="3"/>
    <w:qFormat/>
    <w:rPr>
      <w:rFonts w:eastAsia="仿宋_GB2312" w:cs="Times New Roman"/>
      <w:sz w:val="32"/>
      <w:szCs w:val="24"/>
    </w:rPr>
  </w:style>
  <w:style w:type="character" w:customStyle="1" w:styleId="aa">
    <w:name w:val="日期 字符"/>
    <w:basedOn w:val="a0"/>
    <w:link w:val="a9"/>
    <w:qFormat/>
    <w:rPr>
      <w:rFonts w:ascii="仿宋_GB2312" w:eastAsia="仿宋_GB2312" w:cs="Times New Roman"/>
      <w:sz w:val="32"/>
      <w:szCs w:val="24"/>
    </w:rPr>
  </w:style>
  <w:style w:type="character" w:customStyle="1" w:styleId="af2">
    <w:name w:val="脚注文本 字符"/>
    <w:basedOn w:val="a0"/>
    <w:link w:val="af1"/>
    <w:semiHidden/>
    <w:qFormat/>
    <w:rPr>
      <w:rFonts w:eastAsia="宋体" w:cs="Times New Roman"/>
      <w:sz w:val="18"/>
      <w:szCs w:val="18"/>
    </w:rPr>
  </w:style>
  <w:style w:type="character" w:customStyle="1" w:styleId="ac">
    <w:name w:val="批注框文本 字符"/>
    <w:basedOn w:val="a0"/>
    <w:link w:val="ab"/>
    <w:semiHidden/>
    <w:qFormat/>
    <w:rPr>
      <w:rFonts w:eastAsia="宋体" w:cs="Times New Roman"/>
      <w:sz w:val="18"/>
      <w:szCs w:val="18"/>
    </w:rPr>
  </w:style>
  <w:style w:type="character" w:customStyle="1" w:styleId="a4">
    <w:name w:val="批注文字 字符"/>
    <w:basedOn w:val="a0"/>
    <w:link w:val="a3"/>
    <w:semiHidden/>
    <w:qFormat/>
    <w:rPr>
      <w:rFonts w:eastAsia="宋体" w:cs="Times New Roman"/>
      <w:szCs w:val="24"/>
    </w:rPr>
  </w:style>
  <w:style w:type="character" w:customStyle="1" w:styleId="af4">
    <w:name w:val="批注主题 字符"/>
    <w:basedOn w:val="a4"/>
    <w:link w:val="af3"/>
    <w:semiHidden/>
    <w:qFormat/>
    <w:rPr>
      <w:rFonts w:eastAsia="宋体" w:cs="Times New Roman"/>
      <w:b/>
      <w:bCs/>
      <w:szCs w:val="24"/>
    </w:rPr>
  </w:style>
  <w:style w:type="paragraph" w:customStyle="1" w:styleId="Style2">
    <w:name w:val="_Style 2"/>
    <w:basedOn w:val="a"/>
    <w:uiPriority w:val="34"/>
    <w:qFormat/>
    <w:pPr>
      <w:ind w:firstLineChars="200" w:firstLine="420"/>
    </w:pPr>
  </w:style>
  <w:style w:type="paragraph" w:styleId="af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64659-0C84-4F99-A6F4-C768C6CE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1140</Words>
  <Characters>6498</Characters>
  <Application>Microsoft Office Word</Application>
  <DocSecurity>0</DocSecurity>
  <Lines>54</Lines>
  <Paragraphs>15</Paragraphs>
  <ScaleCrop>false</ScaleCrop>
  <Company>^_^</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dc:creator>
  <cp:lastModifiedBy>zwx</cp:lastModifiedBy>
  <cp:revision>53</cp:revision>
  <cp:lastPrinted>2020-08-24T07:45:00Z</cp:lastPrinted>
  <dcterms:created xsi:type="dcterms:W3CDTF">2020-06-05T09:43:00Z</dcterms:created>
  <dcterms:modified xsi:type="dcterms:W3CDTF">2020-09-02T10:44:00Z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