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07C" w:rsidRPr="00E133E4" w:rsidRDefault="0067307C" w:rsidP="00E133E4">
      <w:pPr>
        <w:jc w:val="center"/>
        <w:rPr>
          <w:rFonts w:ascii="仿宋_GB2312" w:eastAsia="仿宋_GB2312" w:hAnsi="仿宋" w:cs="Tahoma"/>
          <w:b/>
          <w:color w:val="000000"/>
          <w:kern w:val="0"/>
          <w:sz w:val="44"/>
          <w:szCs w:val="44"/>
        </w:rPr>
      </w:pPr>
      <w:r w:rsidRPr="00E133E4">
        <w:rPr>
          <w:rFonts w:ascii="仿宋_GB2312" w:eastAsia="仿宋_GB2312" w:hAnsi="仿宋" w:cs="Tahoma" w:hint="eastAsia"/>
          <w:b/>
          <w:color w:val="000000"/>
          <w:kern w:val="0"/>
          <w:sz w:val="44"/>
          <w:szCs w:val="44"/>
        </w:rPr>
        <w:t>关于评选201</w:t>
      </w:r>
      <w:r w:rsidR="00D42300" w:rsidRPr="00E133E4">
        <w:rPr>
          <w:rFonts w:ascii="仿宋_GB2312" w:eastAsia="仿宋_GB2312" w:hAnsi="仿宋" w:cs="Tahoma"/>
          <w:b/>
          <w:color w:val="000000"/>
          <w:kern w:val="0"/>
          <w:sz w:val="44"/>
          <w:szCs w:val="44"/>
        </w:rPr>
        <w:t>9</w:t>
      </w:r>
      <w:r w:rsidRPr="00E133E4">
        <w:rPr>
          <w:rFonts w:ascii="仿宋_GB2312" w:eastAsia="仿宋_GB2312" w:hAnsi="仿宋" w:cs="Tahoma" w:hint="eastAsia"/>
          <w:b/>
          <w:color w:val="000000"/>
          <w:kern w:val="0"/>
          <w:sz w:val="44"/>
          <w:szCs w:val="44"/>
        </w:rPr>
        <w:t>年“中文系86级校友奖助</w:t>
      </w:r>
      <w:bookmarkStart w:id="0" w:name="_GoBack"/>
      <w:bookmarkEnd w:id="0"/>
      <w:r w:rsidRPr="00E133E4">
        <w:rPr>
          <w:rFonts w:ascii="仿宋_GB2312" w:eastAsia="仿宋_GB2312" w:hAnsi="仿宋" w:cs="Tahoma" w:hint="eastAsia"/>
          <w:b/>
          <w:color w:val="000000"/>
          <w:kern w:val="0"/>
          <w:sz w:val="44"/>
          <w:szCs w:val="44"/>
        </w:rPr>
        <w:t>学金”的通知</w:t>
      </w:r>
    </w:p>
    <w:p w:rsidR="00E133E4" w:rsidRDefault="0067307C" w:rsidP="00E133E4">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为促进教育事业的发展，资助品学兼优且经济困难的大学生顺利完成学业，为社会培养更多更好的优秀人才，中文系1986级全体毕业生向中文系捐赠并专门设立“中文系86级校友奖助学金”, 用于每年(2010年至2029年)捐助或奖励5名中山大学中文系全日制非在职在校学生（含本科与研究生），根据该生学业情况、在校表现情况及其家庭情况一次发放人民币4千元/每人，主要是中文系在读学生中家境较贫困，且勤奋学习，各科学习成绩优良，无不及格科目者；对某些情况特殊的学生，特别是其本人或家庭发生重大变故（如地震、水灾、车祸或受重大疾病等影响）会予以特殊关注，资助条件可以放宽。真正做到对急需帮助的学生给予帮助，对家境困难且上进好学的学生给予奖励。</w:t>
      </w:r>
    </w:p>
    <w:p w:rsidR="0067307C" w:rsidRPr="0067307C" w:rsidRDefault="0067307C" w:rsidP="00E133E4">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有意向申请的同学请填写附件的《中山大学中文系86级校友奖助学金申请表》，将申请表及所附证明材料于201</w:t>
      </w:r>
      <w:r w:rsidR="006B127E">
        <w:rPr>
          <w:rFonts w:ascii="仿宋_GB2312" w:eastAsia="仿宋_GB2312" w:hAnsi="仿宋" w:cs="Tahoma"/>
          <w:color w:val="000000"/>
          <w:kern w:val="0"/>
          <w:sz w:val="28"/>
          <w:szCs w:val="28"/>
        </w:rPr>
        <w:t>9</w:t>
      </w:r>
      <w:r w:rsidRPr="0067307C">
        <w:rPr>
          <w:rFonts w:ascii="仿宋_GB2312" w:eastAsia="仿宋_GB2312" w:hAnsi="仿宋" w:cs="Tahoma" w:hint="eastAsia"/>
          <w:color w:val="000000"/>
          <w:kern w:val="0"/>
          <w:sz w:val="28"/>
          <w:szCs w:val="28"/>
        </w:rPr>
        <w:t>年</w:t>
      </w:r>
      <w:r w:rsidR="006B127E">
        <w:rPr>
          <w:rFonts w:ascii="仿宋_GB2312" w:eastAsia="仿宋_GB2312" w:hAnsi="仿宋" w:cs="Tahoma" w:hint="eastAsia"/>
          <w:color w:val="000000"/>
          <w:kern w:val="0"/>
          <w:sz w:val="28"/>
          <w:szCs w:val="28"/>
        </w:rPr>
        <w:t>1</w:t>
      </w:r>
      <w:r w:rsidR="006B127E">
        <w:rPr>
          <w:rFonts w:ascii="仿宋_GB2312" w:eastAsia="仿宋_GB2312" w:hAnsi="仿宋" w:cs="Tahoma"/>
          <w:color w:val="000000"/>
          <w:kern w:val="0"/>
          <w:sz w:val="28"/>
          <w:szCs w:val="28"/>
        </w:rPr>
        <w:t>1</w:t>
      </w:r>
      <w:r w:rsidRPr="0067307C">
        <w:rPr>
          <w:rFonts w:ascii="仿宋_GB2312" w:eastAsia="仿宋_GB2312" w:hAnsi="仿宋" w:cs="Tahoma" w:hint="eastAsia"/>
          <w:color w:val="000000"/>
          <w:kern w:val="0"/>
          <w:sz w:val="28"/>
          <w:szCs w:val="28"/>
        </w:rPr>
        <w:t>月</w:t>
      </w:r>
      <w:r w:rsidR="006B127E">
        <w:rPr>
          <w:rFonts w:ascii="仿宋_GB2312" w:eastAsia="仿宋_GB2312" w:hAnsi="仿宋" w:cs="Tahoma" w:hint="eastAsia"/>
          <w:color w:val="000000"/>
          <w:kern w:val="0"/>
          <w:sz w:val="28"/>
          <w:szCs w:val="28"/>
        </w:rPr>
        <w:t>2</w:t>
      </w:r>
      <w:r w:rsidR="006B127E">
        <w:rPr>
          <w:rFonts w:ascii="仿宋_GB2312" w:eastAsia="仿宋_GB2312" w:hAnsi="仿宋" w:cs="Tahoma"/>
          <w:color w:val="000000"/>
          <w:kern w:val="0"/>
          <w:sz w:val="28"/>
          <w:szCs w:val="28"/>
        </w:rPr>
        <w:t>5</w:t>
      </w:r>
      <w:r w:rsidRPr="0067307C">
        <w:rPr>
          <w:rFonts w:ascii="仿宋_GB2312" w:eastAsia="仿宋_GB2312" w:hAnsi="仿宋" w:cs="Tahoma" w:hint="eastAsia"/>
          <w:color w:val="000000"/>
          <w:kern w:val="0"/>
          <w:sz w:val="28"/>
          <w:szCs w:val="28"/>
        </w:rPr>
        <w:t>日（周</w:t>
      </w:r>
      <w:r w:rsidR="006B127E">
        <w:rPr>
          <w:rFonts w:ascii="仿宋_GB2312" w:eastAsia="仿宋_GB2312" w:hAnsi="仿宋" w:cs="Tahoma" w:hint="eastAsia"/>
          <w:color w:val="000000"/>
          <w:kern w:val="0"/>
          <w:sz w:val="28"/>
          <w:szCs w:val="28"/>
        </w:rPr>
        <w:t>一</w:t>
      </w:r>
      <w:r w:rsidRPr="0067307C">
        <w:rPr>
          <w:rFonts w:ascii="仿宋_GB2312" w:eastAsia="仿宋_GB2312" w:hAnsi="仿宋" w:cs="Tahoma" w:hint="eastAsia"/>
          <w:color w:val="000000"/>
          <w:kern w:val="0"/>
          <w:sz w:val="28"/>
          <w:szCs w:val="28"/>
        </w:rPr>
        <w:t>）下午5点前交至中文堂402办公室，并将电子版申请表发至</w:t>
      </w:r>
      <w:r w:rsidR="00E133E4">
        <w:rPr>
          <w:rFonts w:ascii="仿宋_GB2312" w:eastAsia="仿宋_GB2312" w:hAnsi="仿宋" w:cs="Tahoma" w:hint="eastAsia"/>
          <w:color w:val="000000"/>
          <w:kern w:val="0"/>
          <w:sz w:val="28"/>
          <w:szCs w:val="28"/>
        </w:rPr>
        <w:t>柳翠</w:t>
      </w:r>
      <w:proofErr w:type="gramStart"/>
      <w:r w:rsidR="00E133E4">
        <w:rPr>
          <w:rFonts w:ascii="仿宋_GB2312" w:eastAsia="仿宋_GB2312" w:hAnsi="仿宋" w:cs="Tahoma" w:hint="eastAsia"/>
          <w:color w:val="000000"/>
          <w:kern w:val="0"/>
          <w:sz w:val="28"/>
          <w:szCs w:val="28"/>
        </w:rPr>
        <w:t>嫦</w:t>
      </w:r>
      <w:proofErr w:type="gramEnd"/>
      <w:r w:rsidR="00E133E4">
        <w:rPr>
          <w:rFonts w:ascii="仿宋_GB2312" w:eastAsia="仿宋_GB2312" w:hAnsi="仿宋" w:cs="Tahoma" w:hint="eastAsia"/>
          <w:color w:val="000000"/>
          <w:kern w:val="0"/>
          <w:sz w:val="28"/>
          <w:szCs w:val="28"/>
        </w:rPr>
        <w:t>老师</w:t>
      </w:r>
      <w:r w:rsidRPr="0067307C">
        <w:rPr>
          <w:rFonts w:ascii="仿宋_GB2312" w:eastAsia="仿宋_GB2312" w:hAnsi="仿宋" w:cs="Tahoma" w:hint="eastAsia"/>
          <w:color w:val="000000"/>
          <w:kern w:val="0"/>
          <w:sz w:val="28"/>
          <w:szCs w:val="28"/>
        </w:rPr>
        <w:t>邮箱</w:t>
      </w:r>
      <w:r w:rsidR="00E133E4">
        <w:rPr>
          <w:rFonts w:ascii="仿宋_GB2312" w:eastAsia="仿宋_GB2312" w:hAnsi="仿宋" w:cs="Tahoma"/>
          <w:color w:val="000000"/>
          <w:kern w:val="0"/>
          <w:sz w:val="28"/>
          <w:szCs w:val="28"/>
        </w:rPr>
        <w:t>2311400707</w:t>
      </w:r>
      <w:r w:rsidR="002B6579" w:rsidRPr="002B6579">
        <w:rPr>
          <w:rFonts w:ascii="仿宋_GB2312" w:eastAsia="仿宋_GB2312" w:hAnsi="仿宋" w:cs="Tahoma"/>
          <w:color w:val="000000"/>
          <w:kern w:val="0"/>
          <w:sz w:val="28"/>
          <w:szCs w:val="28"/>
        </w:rPr>
        <w:t>@qq.com</w:t>
      </w:r>
      <w:r w:rsidRPr="0067307C">
        <w:rPr>
          <w:rFonts w:ascii="仿宋_GB2312" w:eastAsia="仿宋_GB2312" w:hAnsi="仿宋" w:cs="Tahoma" w:hint="eastAsia"/>
          <w:color w:val="000000"/>
          <w:kern w:val="0"/>
          <w:sz w:val="28"/>
          <w:szCs w:val="28"/>
        </w:rPr>
        <w:t>。请在“申请理由”中详述获奖/获助理由及所附证明材料（申请助学金类别的同学需附上《家庭经济状况证明表》和个人手写申请书，申请书抬头写：尊敬的中文系86级校友奖助学金评定委员会。）</w:t>
      </w:r>
    </w:p>
    <w:p w:rsidR="0067307C" w:rsidRPr="0067307C" w:rsidRDefault="0067307C" w:rsidP="0067307C">
      <w:pPr>
        <w:rPr>
          <w:rFonts w:ascii="仿宋_GB2312" w:eastAsia="仿宋_GB2312" w:hAnsi="仿宋" w:cs="Tahoma"/>
          <w:color w:val="000000"/>
          <w:kern w:val="0"/>
          <w:sz w:val="28"/>
          <w:szCs w:val="28"/>
        </w:rPr>
      </w:pPr>
    </w:p>
    <w:p w:rsidR="0067307C" w:rsidRPr="0067307C" w:rsidRDefault="0067307C" w:rsidP="0067307C">
      <w:pPr>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lastRenderedPageBreak/>
        <w:t>注意事项：</w:t>
      </w:r>
    </w:p>
    <w:p w:rsidR="0067307C" w:rsidRPr="0067307C" w:rsidRDefault="0067307C" w:rsidP="0067307C">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1</w:t>
      </w:r>
      <w:r>
        <w:rPr>
          <w:rFonts w:ascii="仿宋_GB2312" w:eastAsia="仿宋_GB2312" w:hAnsi="仿宋" w:cs="Tahoma" w:hint="eastAsia"/>
          <w:color w:val="000000"/>
          <w:kern w:val="0"/>
          <w:sz w:val="28"/>
          <w:szCs w:val="28"/>
        </w:rPr>
        <w:t>.</w:t>
      </w:r>
      <w:r w:rsidRPr="0067307C">
        <w:rPr>
          <w:rFonts w:ascii="仿宋_GB2312" w:eastAsia="仿宋_GB2312" w:hAnsi="仿宋" w:cs="Tahoma" w:hint="eastAsia"/>
          <w:color w:val="000000"/>
          <w:kern w:val="0"/>
          <w:sz w:val="28"/>
          <w:szCs w:val="28"/>
        </w:rPr>
        <w:t>按照《中山大学本科生奖学金管理办法》第三章第十九条：不同捐赠奖学金不可以兼得（含校级和院系级捐赠奖学金）；国家设置的奖学金、捐赠奖学金（含校级及院系级捐赠奖学金）和中山大学励志奖学金不可兼得。因此，在201</w:t>
      </w:r>
      <w:r w:rsidR="00E133E4">
        <w:rPr>
          <w:rFonts w:ascii="仿宋_GB2312" w:eastAsia="仿宋_GB2312" w:hAnsi="仿宋" w:cs="Tahoma"/>
          <w:color w:val="000000"/>
          <w:kern w:val="0"/>
          <w:sz w:val="28"/>
          <w:szCs w:val="28"/>
        </w:rPr>
        <w:t>9</w:t>
      </w:r>
      <w:r w:rsidRPr="0067307C">
        <w:rPr>
          <w:rFonts w:ascii="仿宋_GB2312" w:eastAsia="仿宋_GB2312" w:hAnsi="仿宋" w:cs="Tahoma" w:hint="eastAsia"/>
          <w:color w:val="000000"/>
          <w:kern w:val="0"/>
          <w:sz w:val="28"/>
          <w:szCs w:val="28"/>
        </w:rPr>
        <w:t>年10月已获得国家奖学金、国家励志奖学金、中山大学励志奖学金及各类捐赠奖学金资助的同学原则上不能重复评选86级校友奖学金，但仍可以申请86级校友助学金。</w:t>
      </w:r>
    </w:p>
    <w:p w:rsidR="00E133E4" w:rsidRDefault="0067307C" w:rsidP="00E133E4">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2</w:t>
      </w:r>
      <w:r>
        <w:rPr>
          <w:rFonts w:ascii="仿宋_GB2312" w:eastAsia="仿宋_GB2312" w:hAnsi="仿宋" w:cs="Tahoma" w:hint="eastAsia"/>
          <w:color w:val="000000"/>
          <w:kern w:val="0"/>
          <w:sz w:val="28"/>
          <w:szCs w:val="28"/>
        </w:rPr>
        <w:t>.</w:t>
      </w:r>
      <w:r w:rsidRPr="0067307C">
        <w:rPr>
          <w:rFonts w:ascii="仿宋_GB2312" w:eastAsia="仿宋_GB2312" w:hAnsi="仿宋" w:cs="Tahoma" w:hint="eastAsia"/>
          <w:color w:val="000000"/>
          <w:kern w:val="0"/>
          <w:sz w:val="28"/>
          <w:szCs w:val="28"/>
        </w:rPr>
        <w:t>申请的同学</w:t>
      </w:r>
      <w:proofErr w:type="gramStart"/>
      <w:r w:rsidRPr="0067307C">
        <w:rPr>
          <w:rFonts w:ascii="仿宋_GB2312" w:eastAsia="仿宋_GB2312" w:hAnsi="仿宋" w:cs="Tahoma" w:hint="eastAsia"/>
          <w:color w:val="000000"/>
          <w:kern w:val="0"/>
          <w:sz w:val="28"/>
          <w:szCs w:val="28"/>
        </w:rPr>
        <w:t>原则上需已完成</w:t>
      </w:r>
      <w:proofErr w:type="gramEnd"/>
      <w:r w:rsidRPr="0067307C">
        <w:rPr>
          <w:rFonts w:ascii="仿宋_GB2312" w:eastAsia="仿宋_GB2312" w:hAnsi="仿宋" w:cs="Tahoma" w:hint="eastAsia"/>
          <w:color w:val="000000"/>
          <w:kern w:val="0"/>
          <w:sz w:val="28"/>
          <w:szCs w:val="28"/>
        </w:rPr>
        <w:t>困难生认定，在困难生数据库中，，如有特殊情况还需申请或不在困难生数据库中的同学，请在申请表和申请书中特别说明。申请奖学金类别和助学金类别的同学都可以附上奖励证书、任职证明、实习证明、资格考试合格证书等） 请在申请表中标明申请类别：“奖学金”或“助学金”。</w:t>
      </w:r>
    </w:p>
    <w:p w:rsidR="000E44D9" w:rsidRDefault="0067307C" w:rsidP="00E133E4">
      <w:pPr>
        <w:ind w:firstLineChars="200" w:firstLine="560"/>
        <w:rPr>
          <w:rFonts w:ascii="仿宋_GB2312" w:eastAsia="仿宋_GB2312" w:hAnsi="仿宋" w:cs="Tahoma"/>
          <w:color w:val="000000"/>
          <w:kern w:val="0"/>
          <w:sz w:val="28"/>
          <w:szCs w:val="28"/>
        </w:rPr>
      </w:pPr>
      <w:r w:rsidRPr="0067307C">
        <w:rPr>
          <w:rFonts w:ascii="仿宋_GB2312" w:eastAsia="仿宋_GB2312" w:hAnsi="仿宋" w:cs="Tahoma" w:hint="eastAsia"/>
          <w:color w:val="000000"/>
          <w:kern w:val="0"/>
          <w:sz w:val="28"/>
          <w:szCs w:val="28"/>
        </w:rPr>
        <w:t>所有材料将提交</w:t>
      </w:r>
      <w:proofErr w:type="gramStart"/>
      <w:r w:rsidRPr="0067307C">
        <w:rPr>
          <w:rFonts w:ascii="仿宋_GB2312" w:eastAsia="仿宋_GB2312" w:hAnsi="仿宋" w:cs="Tahoma" w:hint="eastAsia"/>
          <w:color w:val="000000"/>
          <w:kern w:val="0"/>
          <w:sz w:val="28"/>
          <w:szCs w:val="28"/>
        </w:rPr>
        <w:t>中文系奖助学金</w:t>
      </w:r>
      <w:proofErr w:type="gramEnd"/>
      <w:r w:rsidRPr="0067307C">
        <w:rPr>
          <w:rFonts w:ascii="仿宋_GB2312" w:eastAsia="仿宋_GB2312" w:hAnsi="仿宋" w:cs="Tahoma" w:hint="eastAsia"/>
          <w:color w:val="000000"/>
          <w:kern w:val="0"/>
          <w:sz w:val="28"/>
          <w:szCs w:val="28"/>
        </w:rPr>
        <w:t>评审小组讨论，推荐获奖、获助名单，并在中文系网站公示。</w:t>
      </w:r>
    </w:p>
    <w:p w:rsidR="0067307C" w:rsidRDefault="0067307C" w:rsidP="0067307C">
      <w:pPr>
        <w:rPr>
          <w:rFonts w:ascii="仿宋_GB2312" w:eastAsia="仿宋_GB2312" w:hAnsi="仿宋" w:cs="Tahoma"/>
          <w:color w:val="000000"/>
          <w:kern w:val="0"/>
          <w:sz w:val="28"/>
          <w:szCs w:val="28"/>
        </w:rPr>
      </w:pPr>
    </w:p>
    <w:p w:rsidR="0067307C" w:rsidRDefault="00E133E4" w:rsidP="0067307C">
      <w:pPr>
        <w:jc w:val="right"/>
        <w:rPr>
          <w:rFonts w:ascii="仿宋_GB2312" w:eastAsia="仿宋_GB2312" w:hAnsi="仿宋" w:cs="Tahoma"/>
          <w:color w:val="000000"/>
          <w:kern w:val="0"/>
          <w:sz w:val="28"/>
          <w:szCs w:val="28"/>
        </w:rPr>
      </w:pPr>
      <w:r>
        <w:rPr>
          <w:rFonts w:ascii="仿宋_GB2312" w:eastAsia="仿宋_GB2312" w:hAnsi="仿宋" w:cs="Tahoma" w:hint="eastAsia"/>
          <w:color w:val="000000"/>
          <w:kern w:val="0"/>
          <w:sz w:val="28"/>
          <w:szCs w:val="28"/>
        </w:rPr>
        <w:t>中国语言文学系</w:t>
      </w:r>
      <w:r w:rsidR="0067307C">
        <w:rPr>
          <w:rFonts w:ascii="仿宋_GB2312" w:eastAsia="仿宋_GB2312" w:hAnsi="仿宋" w:cs="Tahoma" w:hint="eastAsia"/>
          <w:color w:val="000000"/>
          <w:kern w:val="0"/>
          <w:sz w:val="28"/>
          <w:szCs w:val="28"/>
        </w:rPr>
        <w:t xml:space="preserve"> </w:t>
      </w:r>
    </w:p>
    <w:p w:rsidR="0067307C" w:rsidRDefault="0067307C" w:rsidP="0067307C">
      <w:pPr>
        <w:jc w:val="right"/>
        <w:rPr>
          <w:rFonts w:ascii="仿宋_GB2312" w:eastAsia="仿宋_GB2312" w:hAnsi="仿宋" w:cs="Tahoma"/>
          <w:color w:val="000000"/>
          <w:kern w:val="0"/>
          <w:sz w:val="28"/>
          <w:szCs w:val="28"/>
        </w:rPr>
      </w:pPr>
      <w:r>
        <w:rPr>
          <w:rFonts w:ascii="仿宋_GB2312" w:eastAsia="仿宋_GB2312" w:hAnsi="仿宋" w:cs="Tahoma" w:hint="eastAsia"/>
          <w:color w:val="000000"/>
          <w:kern w:val="0"/>
          <w:sz w:val="28"/>
          <w:szCs w:val="28"/>
        </w:rPr>
        <w:t>201</w:t>
      </w:r>
      <w:r w:rsidR="00E133E4">
        <w:rPr>
          <w:rFonts w:ascii="仿宋_GB2312" w:eastAsia="仿宋_GB2312" w:hAnsi="仿宋" w:cs="Tahoma"/>
          <w:color w:val="000000"/>
          <w:kern w:val="0"/>
          <w:sz w:val="28"/>
          <w:szCs w:val="28"/>
        </w:rPr>
        <w:t>9</w:t>
      </w:r>
      <w:r>
        <w:rPr>
          <w:rFonts w:ascii="仿宋_GB2312" w:eastAsia="仿宋_GB2312" w:hAnsi="仿宋" w:cs="Tahoma" w:hint="eastAsia"/>
          <w:color w:val="000000"/>
          <w:kern w:val="0"/>
          <w:sz w:val="28"/>
          <w:szCs w:val="28"/>
        </w:rPr>
        <w:t>年</w:t>
      </w:r>
      <w:r w:rsidR="00E133E4">
        <w:rPr>
          <w:rFonts w:ascii="仿宋_GB2312" w:eastAsia="仿宋_GB2312" w:hAnsi="仿宋" w:cs="Tahoma"/>
          <w:color w:val="000000"/>
          <w:kern w:val="0"/>
          <w:sz w:val="28"/>
          <w:szCs w:val="28"/>
        </w:rPr>
        <w:t>11</w:t>
      </w:r>
      <w:r>
        <w:rPr>
          <w:rFonts w:ascii="仿宋_GB2312" w:eastAsia="仿宋_GB2312" w:hAnsi="仿宋" w:cs="Tahoma" w:hint="eastAsia"/>
          <w:color w:val="000000"/>
          <w:kern w:val="0"/>
          <w:sz w:val="28"/>
          <w:szCs w:val="28"/>
        </w:rPr>
        <w:t>月</w:t>
      </w:r>
      <w:r w:rsidR="00E133E4">
        <w:rPr>
          <w:rFonts w:ascii="仿宋_GB2312" w:eastAsia="仿宋_GB2312" w:hAnsi="仿宋" w:cs="Tahoma"/>
          <w:color w:val="000000"/>
          <w:kern w:val="0"/>
          <w:sz w:val="28"/>
          <w:szCs w:val="28"/>
        </w:rPr>
        <w:t>19</w:t>
      </w:r>
      <w:r w:rsidR="00E133E4">
        <w:rPr>
          <w:rFonts w:ascii="仿宋_GB2312" w:eastAsia="仿宋_GB2312" w:hAnsi="仿宋" w:cs="Tahoma" w:hint="eastAsia"/>
          <w:color w:val="000000"/>
          <w:kern w:val="0"/>
          <w:sz w:val="28"/>
          <w:szCs w:val="28"/>
        </w:rPr>
        <w:t>日</w:t>
      </w:r>
    </w:p>
    <w:p w:rsidR="000E44D9" w:rsidRDefault="000E44D9" w:rsidP="00A90252">
      <w:pPr>
        <w:rPr>
          <w:rFonts w:ascii="Tahoma" w:hAnsi="Tahoma" w:cs="Tahoma"/>
          <w:color w:val="000000"/>
        </w:rPr>
      </w:pPr>
    </w:p>
    <w:p w:rsidR="0067307C" w:rsidRPr="0067307C" w:rsidRDefault="0067307C" w:rsidP="00256191"/>
    <w:sectPr w:rsidR="0067307C" w:rsidRPr="0067307C" w:rsidSect="005903F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428" w:rsidRDefault="00D54428" w:rsidP="00D42300">
      <w:r>
        <w:separator/>
      </w:r>
    </w:p>
  </w:endnote>
  <w:endnote w:type="continuationSeparator" w:id="0">
    <w:p w:rsidR="00D54428" w:rsidRDefault="00D54428" w:rsidP="00D4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428" w:rsidRDefault="00D54428" w:rsidP="00D42300">
      <w:r>
        <w:separator/>
      </w:r>
    </w:p>
  </w:footnote>
  <w:footnote w:type="continuationSeparator" w:id="0">
    <w:p w:rsidR="00D54428" w:rsidRDefault="00D54428" w:rsidP="00D423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65"/>
    <w:rsid w:val="00030735"/>
    <w:rsid w:val="000408C5"/>
    <w:rsid w:val="000E44D9"/>
    <w:rsid w:val="00163032"/>
    <w:rsid w:val="00171CDA"/>
    <w:rsid w:val="001B760B"/>
    <w:rsid w:val="001F46B3"/>
    <w:rsid w:val="00256191"/>
    <w:rsid w:val="002B6579"/>
    <w:rsid w:val="003E2B08"/>
    <w:rsid w:val="003F1B04"/>
    <w:rsid w:val="004332C1"/>
    <w:rsid w:val="005903F3"/>
    <w:rsid w:val="0067307C"/>
    <w:rsid w:val="006A43E9"/>
    <w:rsid w:val="006B127E"/>
    <w:rsid w:val="00715A65"/>
    <w:rsid w:val="007534A3"/>
    <w:rsid w:val="007817DC"/>
    <w:rsid w:val="007874D4"/>
    <w:rsid w:val="007D44E5"/>
    <w:rsid w:val="008420CF"/>
    <w:rsid w:val="00A250BA"/>
    <w:rsid w:val="00A90252"/>
    <w:rsid w:val="00AB0797"/>
    <w:rsid w:val="00B666E7"/>
    <w:rsid w:val="00CF7EA7"/>
    <w:rsid w:val="00D42300"/>
    <w:rsid w:val="00D54428"/>
    <w:rsid w:val="00E01431"/>
    <w:rsid w:val="00E133E4"/>
    <w:rsid w:val="00E5052E"/>
    <w:rsid w:val="00E844F7"/>
    <w:rsid w:val="00EE3266"/>
    <w:rsid w:val="00F776E9"/>
    <w:rsid w:val="00F91DCA"/>
    <w:rsid w:val="00FA43B9"/>
    <w:rsid w:val="00FF7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9D150E"/>
  <w15:docId w15:val="{289765E3-1506-4FB4-9E3F-4708C64FC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3F1B04"/>
    <w:pPr>
      <w:widowControl w:val="0"/>
      <w:jc w:val="both"/>
    </w:pPr>
    <w:rPr>
      <w:kern w:val="2"/>
      <w:sz w:val="21"/>
      <w:szCs w:val="21"/>
    </w:rPr>
  </w:style>
  <w:style w:type="paragraph" w:styleId="1">
    <w:name w:val="heading 1"/>
    <w:basedOn w:val="a"/>
    <w:link w:val="10"/>
    <w:uiPriority w:val="99"/>
    <w:qFormat/>
    <w:rsid w:val="00715A65"/>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uiPriority w:val="99"/>
    <w:locked/>
    <w:rsid w:val="00715A65"/>
    <w:rPr>
      <w:rFonts w:ascii="宋体" w:eastAsia="宋体" w:hAnsi="宋体" w:cs="宋体"/>
      <w:b/>
      <w:bCs/>
      <w:kern w:val="36"/>
      <w:sz w:val="48"/>
      <w:szCs w:val="48"/>
    </w:rPr>
  </w:style>
  <w:style w:type="paragraph" w:customStyle="1" w:styleId="info">
    <w:name w:val="info"/>
    <w:basedOn w:val="a"/>
    <w:uiPriority w:val="99"/>
    <w:rsid w:val="00715A65"/>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uiPriority w:val="99"/>
    <w:rsid w:val="00715A65"/>
    <w:rPr>
      <w:rFonts w:cs="Times New Roman"/>
    </w:rPr>
  </w:style>
  <w:style w:type="character" w:styleId="a3">
    <w:name w:val="Hyperlink"/>
    <w:uiPriority w:val="99"/>
    <w:semiHidden/>
    <w:rsid w:val="00715A65"/>
    <w:rPr>
      <w:rFonts w:cs="Times New Roman"/>
      <w:color w:val="0000FF"/>
      <w:u w:val="single"/>
    </w:rPr>
  </w:style>
  <w:style w:type="paragraph" w:styleId="a4">
    <w:name w:val="Normal (Web)"/>
    <w:basedOn w:val="a"/>
    <w:uiPriority w:val="99"/>
    <w:semiHidden/>
    <w:rsid w:val="00715A65"/>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a6"/>
    <w:uiPriority w:val="99"/>
    <w:semiHidden/>
    <w:unhideWhenUsed/>
    <w:rsid w:val="0067307C"/>
    <w:rPr>
      <w:sz w:val="18"/>
      <w:szCs w:val="18"/>
    </w:rPr>
  </w:style>
  <w:style w:type="character" w:customStyle="1" w:styleId="a6">
    <w:name w:val="批注框文本 字符"/>
    <w:basedOn w:val="a0"/>
    <w:link w:val="a5"/>
    <w:uiPriority w:val="99"/>
    <w:semiHidden/>
    <w:rsid w:val="0067307C"/>
    <w:rPr>
      <w:kern w:val="2"/>
      <w:sz w:val="18"/>
      <w:szCs w:val="18"/>
    </w:rPr>
  </w:style>
  <w:style w:type="paragraph" w:styleId="a7">
    <w:name w:val="header"/>
    <w:basedOn w:val="a"/>
    <w:link w:val="a8"/>
    <w:uiPriority w:val="99"/>
    <w:unhideWhenUsed/>
    <w:rsid w:val="00D42300"/>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D42300"/>
    <w:rPr>
      <w:kern w:val="2"/>
      <w:sz w:val="18"/>
      <w:szCs w:val="18"/>
    </w:rPr>
  </w:style>
  <w:style w:type="paragraph" w:styleId="a9">
    <w:name w:val="footer"/>
    <w:basedOn w:val="a"/>
    <w:link w:val="aa"/>
    <w:uiPriority w:val="99"/>
    <w:unhideWhenUsed/>
    <w:rsid w:val="00D42300"/>
    <w:pPr>
      <w:tabs>
        <w:tab w:val="center" w:pos="4153"/>
        <w:tab w:val="right" w:pos="8306"/>
      </w:tabs>
      <w:snapToGrid w:val="0"/>
      <w:jc w:val="left"/>
    </w:pPr>
    <w:rPr>
      <w:sz w:val="18"/>
      <w:szCs w:val="18"/>
    </w:rPr>
  </w:style>
  <w:style w:type="character" w:customStyle="1" w:styleId="aa">
    <w:name w:val="页脚 字符"/>
    <w:basedOn w:val="a0"/>
    <w:link w:val="a9"/>
    <w:uiPriority w:val="99"/>
    <w:rsid w:val="00D423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8899049">
      <w:marLeft w:val="0"/>
      <w:marRight w:val="0"/>
      <w:marTop w:val="0"/>
      <w:marBottom w:val="0"/>
      <w:divBdr>
        <w:top w:val="none" w:sz="0" w:space="0" w:color="auto"/>
        <w:left w:val="none" w:sz="0" w:space="0" w:color="auto"/>
        <w:bottom w:val="none" w:sz="0" w:space="0" w:color="auto"/>
        <w:right w:val="none" w:sz="0" w:space="0" w:color="auto"/>
      </w:divBdr>
      <w:divsChild>
        <w:div w:id="1648899048">
          <w:marLeft w:val="0"/>
          <w:marRight w:val="0"/>
          <w:marTop w:val="225"/>
          <w:marBottom w:val="225"/>
          <w:divBdr>
            <w:top w:val="none" w:sz="0" w:space="0" w:color="auto"/>
            <w:left w:val="none" w:sz="0" w:space="0" w:color="auto"/>
            <w:bottom w:val="none" w:sz="0" w:space="0" w:color="auto"/>
            <w:right w:val="none" w:sz="0" w:space="0" w:color="auto"/>
          </w:divBdr>
        </w:div>
      </w:divsChild>
    </w:div>
    <w:div w:id="1648899050">
      <w:marLeft w:val="0"/>
      <w:marRight w:val="0"/>
      <w:marTop w:val="0"/>
      <w:marBottom w:val="0"/>
      <w:divBdr>
        <w:top w:val="none" w:sz="0" w:space="0" w:color="auto"/>
        <w:left w:val="none" w:sz="0" w:space="0" w:color="auto"/>
        <w:bottom w:val="none" w:sz="0" w:space="0" w:color="auto"/>
        <w:right w:val="none" w:sz="0" w:space="0" w:color="auto"/>
      </w:divBdr>
      <w:divsChild>
        <w:div w:id="1648899053">
          <w:marLeft w:val="0"/>
          <w:marRight w:val="0"/>
          <w:marTop w:val="0"/>
          <w:marBottom w:val="0"/>
          <w:divBdr>
            <w:top w:val="none" w:sz="0" w:space="0" w:color="auto"/>
            <w:left w:val="none" w:sz="0" w:space="0" w:color="auto"/>
            <w:bottom w:val="none" w:sz="0" w:space="0" w:color="auto"/>
            <w:right w:val="none" w:sz="0" w:space="0" w:color="auto"/>
          </w:divBdr>
          <w:divsChild>
            <w:div w:id="1648899056">
              <w:marLeft w:val="60"/>
              <w:marRight w:val="60"/>
              <w:marTop w:val="0"/>
              <w:marBottom w:val="0"/>
              <w:divBdr>
                <w:top w:val="none" w:sz="0" w:space="0" w:color="auto"/>
                <w:left w:val="none" w:sz="0" w:space="0" w:color="auto"/>
                <w:bottom w:val="none" w:sz="0" w:space="0" w:color="auto"/>
                <w:right w:val="none" w:sz="0" w:space="0" w:color="auto"/>
              </w:divBdr>
              <w:divsChild>
                <w:div w:id="1648899052">
                  <w:marLeft w:val="0"/>
                  <w:marRight w:val="0"/>
                  <w:marTop w:val="0"/>
                  <w:marBottom w:val="0"/>
                  <w:divBdr>
                    <w:top w:val="none" w:sz="0" w:space="0" w:color="auto"/>
                    <w:left w:val="none" w:sz="0" w:space="0" w:color="auto"/>
                    <w:bottom w:val="none" w:sz="0" w:space="0" w:color="auto"/>
                    <w:right w:val="none" w:sz="0" w:space="0" w:color="auto"/>
                  </w:divBdr>
                  <w:divsChild>
                    <w:div w:id="164889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899051">
      <w:marLeft w:val="0"/>
      <w:marRight w:val="0"/>
      <w:marTop w:val="0"/>
      <w:marBottom w:val="0"/>
      <w:divBdr>
        <w:top w:val="none" w:sz="0" w:space="0" w:color="auto"/>
        <w:left w:val="none" w:sz="0" w:space="0" w:color="auto"/>
        <w:bottom w:val="none" w:sz="0" w:space="0" w:color="auto"/>
        <w:right w:val="none" w:sz="0" w:space="0" w:color="auto"/>
      </w:divBdr>
      <w:divsChild>
        <w:div w:id="1648899057">
          <w:marLeft w:val="0"/>
          <w:marRight w:val="0"/>
          <w:marTop w:val="0"/>
          <w:marBottom w:val="0"/>
          <w:divBdr>
            <w:top w:val="none" w:sz="0" w:space="0" w:color="auto"/>
            <w:left w:val="none" w:sz="0" w:space="0" w:color="auto"/>
            <w:bottom w:val="none" w:sz="0" w:space="0" w:color="auto"/>
            <w:right w:val="none" w:sz="0" w:space="0" w:color="auto"/>
          </w:divBdr>
          <w:divsChild>
            <w:div w:id="1648899054">
              <w:marLeft w:val="60"/>
              <w:marRight w:val="60"/>
              <w:marTop w:val="0"/>
              <w:marBottom w:val="0"/>
              <w:divBdr>
                <w:top w:val="none" w:sz="0" w:space="0" w:color="auto"/>
                <w:left w:val="none" w:sz="0" w:space="0" w:color="auto"/>
                <w:bottom w:val="none" w:sz="0" w:space="0" w:color="auto"/>
                <w:right w:val="none" w:sz="0" w:space="0" w:color="auto"/>
              </w:divBdr>
              <w:divsChild>
                <w:div w:id="1648899060">
                  <w:marLeft w:val="0"/>
                  <w:marRight w:val="0"/>
                  <w:marTop w:val="0"/>
                  <w:marBottom w:val="0"/>
                  <w:divBdr>
                    <w:top w:val="none" w:sz="0" w:space="0" w:color="auto"/>
                    <w:left w:val="none" w:sz="0" w:space="0" w:color="auto"/>
                    <w:bottom w:val="none" w:sz="0" w:space="0" w:color="auto"/>
                    <w:right w:val="none" w:sz="0" w:space="0" w:color="auto"/>
                  </w:divBdr>
                  <w:divsChild>
                    <w:div w:id="1648899059">
                      <w:marLeft w:val="0"/>
                      <w:marRight w:val="0"/>
                      <w:marTop w:val="0"/>
                      <w:marBottom w:val="0"/>
                      <w:divBdr>
                        <w:top w:val="none" w:sz="0" w:space="0" w:color="auto"/>
                        <w:left w:val="none" w:sz="0" w:space="0" w:color="auto"/>
                        <w:bottom w:val="none" w:sz="0" w:space="0" w:color="auto"/>
                        <w:right w:val="none" w:sz="0" w:space="0" w:color="auto"/>
                      </w:divBdr>
                      <w:divsChild>
                        <w:div w:id="1648899055">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648899058">
      <w:marLeft w:val="0"/>
      <w:marRight w:val="0"/>
      <w:marTop w:val="0"/>
      <w:marBottom w:val="0"/>
      <w:divBdr>
        <w:top w:val="none" w:sz="0" w:space="0" w:color="auto"/>
        <w:left w:val="none" w:sz="0" w:space="0" w:color="auto"/>
        <w:bottom w:val="none" w:sz="0" w:space="0" w:color="auto"/>
        <w:right w:val="none" w:sz="0" w:space="0" w:color="auto"/>
      </w:divBdr>
      <w:divsChild>
        <w:div w:id="1648899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140</Words>
  <Characters>802</Characters>
  <Application>Microsoft Office Word</Application>
  <DocSecurity>0</DocSecurity>
  <Lines>6</Lines>
  <Paragraphs>1</Paragraphs>
  <ScaleCrop>false</ScaleCrop>
  <Company>China</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关于评选2016年中文系奋发奖学金的通知</dc:title>
  <dc:creator>crystal</dc:creator>
  <cp:lastModifiedBy>林颖</cp:lastModifiedBy>
  <cp:revision>3</cp:revision>
  <dcterms:created xsi:type="dcterms:W3CDTF">2019-11-15T15:36:00Z</dcterms:created>
  <dcterms:modified xsi:type="dcterms:W3CDTF">2019-11-19T02:04:00Z</dcterms:modified>
</cp:coreProperties>
</file>